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026932" w:rsidR="00EF1F0F" w:rsidP="00EF1F0F" w:rsidRDefault="00EF1F0F" w14:paraId="126A8351" w14:textId="77777777">
      <w:pPr>
        <w:rPr>
          <w:rFonts w:cstheme="minorHAnsi"/>
        </w:rPr>
      </w:pPr>
      <w:bookmarkStart w:name="_GoBack" w:id="0"/>
      <w:bookmarkEnd w:id="0"/>
      <w:r w:rsidRPr="00026932">
        <w:rPr>
          <w:rFonts w:cstheme="minorHAnsi"/>
        </w:rPr>
        <w:t>Eksamensopgave Markedsføringsøkonom</w:t>
      </w:r>
    </w:p>
    <w:p w:rsidRPr="00026932" w:rsidR="00EF1F0F" w:rsidP="00EF1F0F" w:rsidRDefault="00EF1F0F" w14:paraId="1B3C7CE4" w14:textId="68C80E6E">
      <w:pPr>
        <w:rPr>
          <w:rFonts w:cstheme="minorHAnsi"/>
        </w:rPr>
      </w:pPr>
      <w:r w:rsidRPr="00026932">
        <w:rPr>
          <w:rFonts w:cstheme="minorHAnsi"/>
        </w:rPr>
        <w:t>Dag</w:t>
      </w:r>
      <w:r w:rsidR="00E30905">
        <w:rPr>
          <w:rFonts w:cstheme="minorHAnsi"/>
        </w:rPr>
        <w:t xml:space="preserve"> 2 eksamensopgave: Indeholder 4</w:t>
      </w:r>
      <w:r w:rsidR="00FF135B">
        <w:rPr>
          <w:rFonts w:cstheme="minorHAnsi"/>
        </w:rPr>
        <w:t xml:space="preserve"> sider inkl. forside</w:t>
      </w:r>
    </w:p>
    <w:p w:rsidRPr="00026932" w:rsidR="00EF1F0F" w:rsidP="00EF1F0F" w:rsidRDefault="00894E59" w14:paraId="7A8FEEB9" w14:textId="69A2D575">
      <w:pPr>
        <w:rPr>
          <w:rFonts w:cstheme="minorHAnsi"/>
        </w:rPr>
      </w:pPr>
      <w:r>
        <w:rPr>
          <w:rFonts w:cstheme="minorHAnsi"/>
        </w:rPr>
        <w:t>Vinter</w:t>
      </w:r>
      <w:r w:rsidR="00F9524E">
        <w:rPr>
          <w:rFonts w:cstheme="minorHAnsi"/>
        </w:rPr>
        <w:t>eksamen 202</w:t>
      </w:r>
      <w:r w:rsidR="007F3F65">
        <w:rPr>
          <w:rFonts w:cstheme="minorHAnsi"/>
        </w:rPr>
        <w:t>3</w:t>
      </w:r>
      <w:r w:rsidRPr="00026932" w:rsidR="00EF1F0F">
        <w:rPr>
          <w:rFonts w:cstheme="minorHAnsi"/>
        </w:rPr>
        <w:t xml:space="preserve">, 2. semester, Eksamination i Tema 4 og Tema </w:t>
      </w:r>
      <w:r w:rsidR="00EF1F0F">
        <w:rPr>
          <w:rFonts w:cstheme="minorHAnsi"/>
        </w:rPr>
        <w:t>5</w:t>
      </w:r>
    </w:p>
    <w:p w:rsidR="00EF1F0F" w:rsidP="00EF1F0F" w:rsidRDefault="00EF1F0F" w14:paraId="7EC61C60" w14:textId="77777777">
      <w:pPr>
        <w:jc w:val="center"/>
      </w:pPr>
    </w:p>
    <w:p w:rsidR="00EF1F0F" w:rsidP="00EF1F0F" w:rsidRDefault="00EF1F0F" w14:paraId="113B81BE" w14:textId="77777777">
      <w:pPr>
        <w:jc w:val="center"/>
        <w:outlineLvl w:val="0"/>
        <w:rPr>
          <w:b/>
          <w:sz w:val="32"/>
          <w:szCs w:val="28"/>
        </w:rPr>
      </w:pPr>
    </w:p>
    <w:p w:rsidR="00EF1F0F" w:rsidP="00EF1F0F" w:rsidRDefault="00EF1F0F" w14:paraId="32ED1B09" w14:textId="77777777">
      <w:pPr>
        <w:outlineLvl w:val="0"/>
        <w:rPr>
          <w:b/>
          <w:sz w:val="32"/>
          <w:szCs w:val="28"/>
        </w:rPr>
      </w:pPr>
    </w:p>
    <w:p w:rsidR="00EF1F0F" w:rsidP="00EF1F0F" w:rsidRDefault="00EF1F0F" w14:paraId="4D32E6E9" w14:textId="77777777">
      <w:pPr>
        <w:jc w:val="center"/>
        <w:outlineLvl w:val="0"/>
        <w:rPr>
          <w:b/>
          <w:sz w:val="32"/>
          <w:szCs w:val="28"/>
        </w:rPr>
      </w:pPr>
    </w:p>
    <w:p w:rsidRPr="00A32BBF" w:rsidR="00EF1F0F" w:rsidP="007E74D6" w:rsidRDefault="00EF1F0F" w14:paraId="34D14CCA" w14:textId="77777777">
      <w:pPr>
        <w:spacing w:after="120"/>
        <w:jc w:val="center"/>
        <w:outlineLvl w:val="0"/>
        <w:rPr>
          <w:b/>
          <w:sz w:val="32"/>
          <w:szCs w:val="28"/>
        </w:rPr>
      </w:pPr>
      <w:r w:rsidRPr="00A32BBF">
        <w:rPr>
          <w:b/>
          <w:sz w:val="32"/>
          <w:szCs w:val="28"/>
        </w:rPr>
        <w:t>Markedsføringsøkonom</w:t>
      </w:r>
    </w:p>
    <w:p w:rsidRPr="00A32BBF" w:rsidR="00EF1F0F" w:rsidP="007E74D6" w:rsidRDefault="00EF1F0F" w14:paraId="5C7BBA8C" w14:textId="674FF4D4">
      <w:pPr>
        <w:pStyle w:val="Listeafsnit"/>
        <w:spacing w:after="120"/>
        <w:jc w:val="center"/>
        <w:rPr>
          <w:sz w:val="28"/>
        </w:rPr>
      </w:pPr>
      <w:r>
        <w:rPr>
          <w:sz w:val="28"/>
        </w:rPr>
        <w:t>1.</w:t>
      </w:r>
      <w:r w:rsidRPr="00A32BBF">
        <w:rPr>
          <w:sz w:val="28"/>
        </w:rPr>
        <w:t>eksterne case</w:t>
      </w:r>
      <w:r>
        <w:rPr>
          <w:sz w:val="28"/>
        </w:rPr>
        <w:t xml:space="preserve"> </w:t>
      </w:r>
      <w:r w:rsidRPr="00A32BBF">
        <w:rPr>
          <w:sz w:val="28"/>
        </w:rPr>
        <w:t>eksamen</w:t>
      </w:r>
      <w:r>
        <w:rPr>
          <w:sz w:val="28"/>
        </w:rPr>
        <w:t>: S</w:t>
      </w:r>
      <w:r w:rsidRPr="00A32BBF">
        <w:rPr>
          <w:sz w:val="28"/>
        </w:rPr>
        <w:t>kriftlig tværfaglig eksamen</w:t>
      </w:r>
    </w:p>
    <w:p w:rsidRPr="00406598" w:rsidR="00EF1F0F" w:rsidP="007E74D6" w:rsidRDefault="00EF1F0F" w14:paraId="11B06C8C" w14:textId="50F38457">
      <w:pPr>
        <w:spacing w:after="120"/>
        <w:jc w:val="center"/>
        <w:rPr>
          <w:bCs/>
          <w:sz w:val="28"/>
        </w:rPr>
      </w:pPr>
      <w:r w:rsidRPr="00406598">
        <w:rPr>
          <w:bCs/>
          <w:sz w:val="28"/>
        </w:rPr>
        <w:t>Udlevering</w:t>
      </w:r>
      <w:r w:rsidR="00CD199F">
        <w:rPr>
          <w:bCs/>
          <w:sz w:val="28"/>
        </w:rPr>
        <w:t xml:space="preserve"> af </w:t>
      </w:r>
      <w:r w:rsidRPr="00406598" w:rsidR="00CD199F">
        <w:rPr>
          <w:bCs/>
          <w:sz w:val="28"/>
        </w:rPr>
        <w:t>case</w:t>
      </w:r>
      <w:r w:rsidR="00CD199F">
        <w:rPr>
          <w:bCs/>
          <w:sz w:val="28"/>
        </w:rPr>
        <w:t xml:space="preserve"> </w:t>
      </w:r>
      <w:r w:rsidRPr="00406598" w:rsidR="00CD199F">
        <w:rPr>
          <w:bCs/>
          <w:sz w:val="28"/>
        </w:rPr>
        <w:t>oplæg</w:t>
      </w:r>
      <w:r w:rsidR="00CD199F">
        <w:rPr>
          <w:bCs/>
          <w:sz w:val="28"/>
        </w:rPr>
        <w:t xml:space="preserve"> (d</w:t>
      </w:r>
      <w:r w:rsidRPr="00406598">
        <w:rPr>
          <w:bCs/>
          <w:sz w:val="28"/>
        </w:rPr>
        <w:t>ag 1</w:t>
      </w:r>
      <w:r w:rsidR="00CD199F">
        <w:rPr>
          <w:bCs/>
          <w:sz w:val="28"/>
        </w:rPr>
        <w:t>)</w:t>
      </w:r>
      <w:r w:rsidR="00B16891">
        <w:rPr>
          <w:bCs/>
          <w:sz w:val="28"/>
        </w:rPr>
        <w:t xml:space="preserve">: </w:t>
      </w:r>
      <w:r w:rsidR="008A1B8F">
        <w:rPr>
          <w:bCs/>
          <w:sz w:val="28"/>
        </w:rPr>
        <w:t>4.</w:t>
      </w:r>
      <w:r w:rsidRPr="00406598">
        <w:rPr>
          <w:bCs/>
          <w:sz w:val="28"/>
        </w:rPr>
        <w:t xml:space="preserve"> j</w:t>
      </w:r>
      <w:r w:rsidR="00B16891">
        <w:rPr>
          <w:bCs/>
          <w:sz w:val="28"/>
        </w:rPr>
        <w:t>anuar 202</w:t>
      </w:r>
      <w:r w:rsidR="007F3F65">
        <w:rPr>
          <w:bCs/>
          <w:sz w:val="28"/>
        </w:rPr>
        <w:t>3</w:t>
      </w:r>
      <w:r w:rsidRPr="00406598">
        <w:rPr>
          <w:bCs/>
          <w:sz w:val="28"/>
        </w:rPr>
        <w:t xml:space="preserve">, kl. </w:t>
      </w:r>
      <w:r>
        <w:rPr>
          <w:bCs/>
          <w:sz w:val="28"/>
        </w:rPr>
        <w:t>0</w:t>
      </w:r>
      <w:r w:rsidRPr="00406598">
        <w:rPr>
          <w:bCs/>
          <w:sz w:val="28"/>
        </w:rPr>
        <w:t>8.30</w:t>
      </w:r>
    </w:p>
    <w:p w:rsidR="00EF1F0F" w:rsidP="007E74D6" w:rsidRDefault="00EF1F0F" w14:paraId="3840E89D" w14:textId="0509B346">
      <w:pPr>
        <w:spacing w:after="120"/>
        <w:jc w:val="center"/>
        <w:rPr>
          <w:b/>
          <w:sz w:val="28"/>
        </w:rPr>
      </w:pPr>
      <w:r w:rsidRPr="00EF1F0F">
        <w:rPr>
          <w:b/>
          <w:sz w:val="28"/>
        </w:rPr>
        <w:t xml:space="preserve">Skriftlig </w:t>
      </w:r>
      <w:r w:rsidRPr="00EF1F0F">
        <w:rPr>
          <w:b/>
          <w:bCs/>
          <w:sz w:val="28"/>
        </w:rPr>
        <w:t>eksamen</w:t>
      </w:r>
      <w:r w:rsidR="00CD199F">
        <w:rPr>
          <w:b/>
          <w:bCs/>
          <w:sz w:val="28"/>
        </w:rPr>
        <w:t xml:space="preserve"> (dag 2)</w:t>
      </w:r>
      <w:r w:rsidR="00B16891">
        <w:rPr>
          <w:b/>
          <w:sz w:val="28"/>
        </w:rPr>
        <w:t xml:space="preserve">: </w:t>
      </w:r>
      <w:r w:rsidR="008A1B8F">
        <w:rPr>
          <w:b/>
          <w:sz w:val="28"/>
        </w:rPr>
        <w:t>5</w:t>
      </w:r>
      <w:r w:rsidRPr="00EF1F0F">
        <w:rPr>
          <w:b/>
          <w:sz w:val="28"/>
        </w:rPr>
        <w:t>. j</w:t>
      </w:r>
      <w:r w:rsidR="00B16891">
        <w:rPr>
          <w:b/>
          <w:sz w:val="28"/>
        </w:rPr>
        <w:t>anuar 202</w:t>
      </w:r>
      <w:r w:rsidR="007F3F65">
        <w:rPr>
          <w:b/>
          <w:sz w:val="28"/>
        </w:rPr>
        <w:t>3</w:t>
      </w:r>
      <w:r w:rsidRPr="00EF1F0F">
        <w:rPr>
          <w:b/>
          <w:sz w:val="28"/>
        </w:rPr>
        <w:t xml:space="preserve">, kl. 08.30 – 14.30 </w:t>
      </w:r>
    </w:p>
    <w:p w:rsidR="00EF1F0F" w:rsidP="00EF1F0F" w:rsidRDefault="00EF1F0F" w14:paraId="195E05E6" w14:textId="471511C2">
      <w:pPr>
        <w:jc w:val="center"/>
        <w:rPr>
          <w:b/>
          <w:sz w:val="28"/>
        </w:rPr>
      </w:pPr>
    </w:p>
    <w:p w:rsidRPr="00EF1F0F" w:rsidR="00EF1F0F" w:rsidP="00EF1F0F" w:rsidRDefault="00EF1F0F" w14:paraId="411C4B73" w14:textId="77777777">
      <w:pPr>
        <w:jc w:val="center"/>
        <w:rPr>
          <w:rFonts w:ascii="Arial" w:hAnsi="Arial" w:cs="Arial"/>
          <w:color w:val="000000"/>
        </w:rPr>
      </w:pPr>
      <w:r w:rsidRPr="00EF1F0F">
        <w:rPr>
          <w:rFonts w:ascii="Arial" w:hAnsi="Arial" w:cs="Arial"/>
          <w:color w:val="000000"/>
        </w:rPr>
        <w:t>Opgavebeskrivelsen består af fire spørgsmål.</w:t>
      </w:r>
    </w:p>
    <w:p w:rsidRPr="00EF1F0F" w:rsidR="00EF1F0F" w:rsidP="00EF1F0F" w:rsidRDefault="00EF1F0F" w14:paraId="7587428E" w14:textId="77777777">
      <w:pPr>
        <w:jc w:val="center"/>
        <w:rPr>
          <w:rFonts w:ascii="Arial" w:hAnsi="Arial" w:cs="Arial"/>
          <w:color w:val="000000"/>
        </w:rPr>
      </w:pPr>
      <w:r w:rsidRPr="00EF1F0F">
        <w:rPr>
          <w:rFonts w:ascii="Arial" w:hAnsi="Arial" w:cs="Arial"/>
          <w:color w:val="000000"/>
        </w:rPr>
        <w:t>De fire spørgsmål vægtes som følgende i den samlede bedømmelse af afleveringen.</w:t>
      </w:r>
    </w:p>
    <w:p w:rsidRPr="00EF1F0F" w:rsidR="00EF1F0F" w:rsidP="00EF1F0F" w:rsidRDefault="00EF1F0F" w14:paraId="6111423C" w14:textId="77777777">
      <w:pPr>
        <w:jc w:val="center"/>
        <w:rPr>
          <w:rFonts w:ascii="Arial" w:hAnsi="Arial" w:cs="Arial"/>
          <w:color w:val="000000"/>
        </w:rPr>
      </w:pPr>
    </w:p>
    <w:p w:rsidRPr="00EF1F0F" w:rsidR="00EF1F0F" w:rsidP="00EF1F0F" w:rsidRDefault="00EF1F0F" w14:paraId="6E26F35A" w14:textId="2E0CA85A">
      <w:pPr>
        <w:jc w:val="center"/>
        <w:rPr>
          <w:rFonts w:ascii="Arial" w:hAnsi="Arial" w:cs="Arial"/>
          <w:color w:val="000000"/>
        </w:rPr>
      </w:pPr>
      <w:r w:rsidRPr="00EF1F0F">
        <w:rPr>
          <w:rFonts w:ascii="Arial" w:hAnsi="Arial" w:cs="Arial"/>
          <w:color w:val="000000"/>
        </w:rPr>
        <w:t>Spørgsmål 1:</w:t>
      </w:r>
      <w:r w:rsidR="00FF135B">
        <w:rPr>
          <w:rFonts w:ascii="Arial" w:hAnsi="Arial" w:cs="Arial"/>
          <w:color w:val="000000"/>
        </w:rPr>
        <w:t xml:space="preserve"> </w:t>
      </w:r>
      <w:r w:rsidR="00C703F5">
        <w:rPr>
          <w:rFonts w:ascii="Arial" w:hAnsi="Arial" w:cs="Arial"/>
          <w:color w:val="000000"/>
        </w:rPr>
        <w:t>45</w:t>
      </w:r>
      <w:r w:rsidRPr="00EF1F0F">
        <w:rPr>
          <w:rFonts w:ascii="Arial" w:hAnsi="Arial" w:cs="Arial"/>
          <w:color w:val="000000"/>
        </w:rPr>
        <w:t>%</w:t>
      </w:r>
    </w:p>
    <w:p w:rsidRPr="00EF1F0F" w:rsidR="00EF1F0F" w:rsidP="00EF1F0F" w:rsidRDefault="00EF1F0F" w14:paraId="6752B1B0" w14:textId="6FD5411C">
      <w:pPr>
        <w:jc w:val="center"/>
        <w:rPr>
          <w:rFonts w:ascii="Arial" w:hAnsi="Arial" w:cs="Arial"/>
          <w:color w:val="000000"/>
        </w:rPr>
      </w:pPr>
      <w:r w:rsidRPr="00EF1F0F">
        <w:rPr>
          <w:rFonts w:ascii="Arial" w:hAnsi="Arial" w:cs="Arial"/>
          <w:color w:val="000000"/>
        </w:rPr>
        <w:t>Spørgsmål 2:</w:t>
      </w:r>
      <w:r w:rsidR="00FF135B">
        <w:rPr>
          <w:rFonts w:ascii="Arial" w:hAnsi="Arial" w:cs="Arial"/>
          <w:color w:val="000000"/>
        </w:rPr>
        <w:t xml:space="preserve"> </w:t>
      </w:r>
      <w:r w:rsidR="00C703F5">
        <w:rPr>
          <w:rFonts w:ascii="Arial" w:hAnsi="Arial" w:cs="Arial"/>
          <w:color w:val="000000"/>
        </w:rPr>
        <w:t>1</w:t>
      </w:r>
      <w:r w:rsidR="001A4BE4">
        <w:rPr>
          <w:rFonts w:ascii="Arial" w:hAnsi="Arial" w:cs="Arial"/>
          <w:color w:val="000000"/>
        </w:rPr>
        <w:t>0</w:t>
      </w:r>
      <w:r w:rsidRPr="00EF1F0F">
        <w:rPr>
          <w:rFonts w:ascii="Arial" w:hAnsi="Arial" w:cs="Arial"/>
          <w:color w:val="000000"/>
        </w:rPr>
        <w:t>%</w:t>
      </w:r>
    </w:p>
    <w:p w:rsidRPr="00EF1F0F" w:rsidR="00EF1F0F" w:rsidP="00EF1F0F" w:rsidRDefault="00EF1F0F" w14:paraId="6A779FA7" w14:textId="3B7B6FE6">
      <w:pPr>
        <w:jc w:val="center"/>
        <w:rPr>
          <w:rFonts w:ascii="Arial" w:hAnsi="Arial" w:cs="Arial"/>
          <w:color w:val="000000"/>
        </w:rPr>
      </w:pPr>
      <w:r w:rsidRPr="00EF1F0F">
        <w:rPr>
          <w:rFonts w:ascii="Arial" w:hAnsi="Arial" w:cs="Arial"/>
          <w:color w:val="000000"/>
        </w:rPr>
        <w:t>Spørgsmål 3:</w:t>
      </w:r>
      <w:r w:rsidR="00FF135B">
        <w:rPr>
          <w:rFonts w:ascii="Arial" w:hAnsi="Arial" w:cs="Arial"/>
          <w:color w:val="000000"/>
        </w:rPr>
        <w:t xml:space="preserve"> </w:t>
      </w:r>
      <w:r w:rsidRPr="00EF1F0F">
        <w:rPr>
          <w:rFonts w:ascii="Arial" w:hAnsi="Arial" w:cs="Arial"/>
          <w:color w:val="000000"/>
        </w:rPr>
        <w:t>3</w:t>
      </w:r>
      <w:r w:rsidR="001A4BE4">
        <w:rPr>
          <w:rFonts w:ascii="Arial" w:hAnsi="Arial" w:cs="Arial"/>
          <w:color w:val="000000"/>
        </w:rPr>
        <w:t>5</w:t>
      </w:r>
      <w:r w:rsidRPr="00EF1F0F">
        <w:rPr>
          <w:rFonts w:ascii="Arial" w:hAnsi="Arial" w:cs="Arial"/>
          <w:color w:val="000000"/>
        </w:rPr>
        <w:t>%</w:t>
      </w:r>
    </w:p>
    <w:p w:rsidRPr="00EF1F0F" w:rsidR="00EF1F0F" w:rsidP="00EF1F0F" w:rsidRDefault="00EF1F0F" w14:paraId="0A34A708" w14:textId="40040A97">
      <w:pPr>
        <w:jc w:val="center"/>
        <w:rPr>
          <w:rFonts w:ascii="Arial" w:hAnsi="Arial" w:cs="Arial"/>
          <w:color w:val="000000"/>
        </w:rPr>
      </w:pPr>
      <w:r w:rsidRPr="00EF1F0F">
        <w:rPr>
          <w:rFonts w:ascii="Arial" w:hAnsi="Arial" w:cs="Arial"/>
          <w:color w:val="000000"/>
        </w:rPr>
        <w:t>Spørgsmål 4:</w:t>
      </w:r>
      <w:r w:rsidR="00FF135B">
        <w:rPr>
          <w:rFonts w:ascii="Arial" w:hAnsi="Arial" w:cs="Arial"/>
          <w:color w:val="000000"/>
        </w:rPr>
        <w:t xml:space="preserve"> </w:t>
      </w:r>
      <w:r w:rsidR="00203B17">
        <w:rPr>
          <w:rFonts w:ascii="Arial" w:hAnsi="Arial" w:cs="Arial"/>
          <w:color w:val="000000"/>
        </w:rPr>
        <w:t>10</w:t>
      </w:r>
      <w:r w:rsidRPr="00EF1F0F">
        <w:rPr>
          <w:rFonts w:ascii="Arial" w:hAnsi="Arial" w:cs="Arial"/>
          <w:color w:val="000000"/>
        </w:rPr>
        <w:t>%</w:t>
      </w:r>
    </w:p>
    <w:p w:rsidRPr="00EF1F0F" w:rsidR="00EF1F0F" w:rsidP="00EF1F0F" w:rsidRDefault="00EF1F0F" w14:paraId="20F89DD3" w14:textId="77777777">
      <w:pPr>
        <w:jc w:val="center"/>
        <w:rPr>
          <w:rFonts w:ascii="Arial" w:hAnsi="Arial" w:cs="Arial"/>
          <w:color w:val="000000"/>
        </w:rPr>
      </w:pPr>
    </w:p>
    <w:p w:rsidRPr="00EF1F0F" w:rsidR="00EF1F0F" w:rsidP="00EF1F0F" w:rsidRDefault="00EF1F0F" w14:paraId="7CCB58CD" w14:textId="77777777">
      <w:pPr>
        <w:jc w:val="center"/>
        <w:rPr>
          <w:rFonts w:ascii="Arial" w:hAnsi="Arial" w:cs="Arial"/>
          <w:color w:val="000000"/>
        </w:rPr>
      </w:pPr>
      <w:r w:rsidRPr="00EF1F0F">
        <w:rPr>
          <w:rFonts w:ascii="Arial" w:hAnsi="Arial" w:cs="Arial"/>
          <w:color w:val="000000"/>
        </w:rPr>
        <w:t>Totalt: 100%</w:t>
      </w:r>
    </w:p>
    <w:p w:rsidRPr="00EF1F0F" w:rsidR="00EF1F0F" w:rsidP="00EF1F0F" w:rsidRDefault="00EF1F0F" w14:paraId="0E572B14" w14:textId="77777777">
      <w:pPr>
        <w:jc w:val="center"/>
        <w:rPr>
          <w:b/>
          <w:sz w:val="28"/>
        </w:rPr>
      </w:pPr>
    </w:p>
    <w:p w:rsidRPr="0093625F" w:rsidR="00EF1F0F" w:rsidP="00EF1F0F" w:rsidRDefault="00EF1F0F" w14:paraId="2D2899E4" w14:textId="77777777" w14:noSpellErr="1">
      <w:r w:rsidRPr="00C913C5"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91440" distB="91440" distL="114300" distR="114300" simplePos="0" relativeHeight="251659264" behindDoc="0" locked="0" layoutInCell="1" allowOverlap="1" wp14:anchorId="38D00BC6" wp14:editId="20608718">
                <wp:simplePos xmlns:wp="http://schemas.openxmlformats.org/drawingml/2006/wordprocessingDrawing" x="0" y="0"/>
                <wp:positionH xmlns:wp="http://schemas.openxmlformats.org/drawingml/2006/wordprocessingDrawing" relativeFrom="page">
                  <wp:posOffset>768350</wp:posOffset>
                </wp:positionH>
                <wp:positionV xmlns:wp="http://schemas.openxmlformats.org/drawingml/2006/wordprocessingDrawing" relativeFrom="paragraph">
                  <wp:posOffset>273685</wp:posOffset>
                </wp:positionV>
                <wp:extent cx="5940425" cy="2275205"/>
                <wp:effectExtent l="0" t="0" r="0" b="0"/>
                <wp:wrapTopAndBottom xmlns:wp="http://schemas.openxmlformats.org/drawingml/2006/wordprocessingDrawing"/>
                <wp:docPr xmlns:wp="http://schemas.openxmlformats.org/drawingml/2006/wordprocessingDrawing" id="307" name="Tekstfelt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275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40D7D" w:rsidR="00EF1F0F" w:rsidP="00EF1F0F" w:rsidRDefault="00EF1F0F">
                            <w:pPr>
                              <w:pBdr>
                                <w:top w:val="single" w:color="4F81BD" w:themeColor="accent1" w:sz="24" w:space="8"/>
                                <w:bottom w:val="single" w:color="4F81BD" w:themeColor="accent1" w:sz="24" w:space="8"/>
                              </w:pBdr>
                              <w:rPr>
                                <w:rFonts w:cstheme="minorHAnsi"/>
                                <w:b/>
                                <w:i/>
                                <w:iCs/>
                                <w:color w:val="31849B" w:themeColor="accent5" w:themeShade="BF"/>
                              </w:rPr>
                            </w:pPr>
                            <w:r w:rsidRPr="00840D7D">
                              <w:rPr>
                                <w:rFonts w:cstheme="minorHAnsi"/>
                                <w:b/>
                                <w:i/>
                                <w:iCs/>
                                <w:color w:val="31849B" w:themeColor="accent5" w:themeShade="BF"/>
                              </w:rPr>
                              <w:t xml:space="preserve">Vigtig information </w:t>
                            </w:r>
                          </w:p>
                          <w:p w:rsidRPr="00840D7D" w:rsidR="00EF1F0F" w:rsidP="00EF1F0F" w:rsidRDefault="00EF1F0F">
                            <w:pPr>
                              <w:pBdr>
                                <w:top w:val="single" w:color="4F81BD" w:themeColor="accent1" w:sz="24" w:space="8"/>
                                <w:bottom w:val="single" w:color="4F81BD" w:themeColor="accent1" w:sz="24" w:space="8"/>
                              </w:pBdr>
                              <w:rPr>
                                <w:rFonts w:cstheme="minorHAnsi"/>
                                <w:i/>
                                <w:iCs/>
                                <w:color w:val="31849B" w:themeColor="accent5" w:themeShade="BF"/>
                              </w:rPr>
                            </w:pPr>
                            <w:r w:rsidRPr="00840D7D">
                              <w:rPr>
                                <w:rFonts w:cstheme="minorHAnsi"/>
                                <w:i/>
                                <w:iCs/>
                                <w:color w:val="31849B" w:themeColor="accent5" w:themeShade="BF"/>
                              </w:rPr>
                              <w:t xml:space="preserve">1. eksterne eksamen vurderes ud fra læringsmålene gældende for 2. semester.                              Vær derfor opmærksom på at placere en evt. situationsanalyse, der omfatter læringsmål fra 1. semester i bilag. Det kan være en god forudsætning for at kunne præsentere en velbegrundet markedsføringsplan på taktisk og operativt niveau, hvor argumenterne for indholdet i markedsføringsplanen hentes fra situationsanalysen. </w:t>
                            </w:r>
                            <w:r w:rsidRPr="00840D7D">
                              <w:rPr>
                                <w:rFonts w:cstheme="minorHAnsi"/>
                                <w:i/>
                                <w:iCs/>
                                <w:color w:val="31849B" w:themeColor="accent5" w:themeShade="BF"/>
                              </w:rPr>
                              <w:tab/>
                            </w:r>
                          </w:p>
                          <w:p w:rsidRPr="00CF2C81" w:rsidR="00EF1F0F" w:rsidP="00EF1F0F" w:rsidRDefault="00EF1F0F">
                            <w:pPr>
                              <w:pBdr>
                                <w:top w:val="single" w:color="4F81BD" w:themeColor="accent1" w:sz="24" w:space="8"/>
                                <w:bottom w:val="single" w:color="4F81BD" w:themeColor="accent1" w:sz="24" w:space="8"/>
                              </w:pBdr>
                              <w:rPr>
                                <w:rFonts w:cstheme="minorHAnsi"/>
                                <w:i/>
                                <w:iCs/>
                                <w:color w:val="31849B" w:themeColor="accent5" w:themeShade="BF"/>
                              </w:rPr>
                            </w:pPr>
                            <w:r w:rsidRPr="00840D7D">
                              <w:rPr>
                                <w:rFonts w:cstheme="minorHAnsi"/>
                                <w:i/>
                                <w:iCs/>
                                <w:color w:val="31849B" w:themeColor="accent5" w:themeShade="BF"/>
                              </w:rPr>
                              <w:t>Situationsanalysen skal placeres i bilag, da dette ikke udgør vurderingsgrundlaget, men indholdet fra situationsanalysen forventes inddraget i argumentationerne for løsningsforslag til opgaven (hvor der i dokumentationen henvises til bilaget)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20000</wp14:pctHeight>
                </wp14:sizeRelV>
              </wp:anchor>
            </w:drawing>
          </mc:Choice>
          <mc:Fallback xmlns:a="http://schemas.openxmlformats.org/drawingml/2006/main"/>
        </mc:AlternateContent>
      </w:r>
    </w:p>
    <w:p w:rsidRPr="00564206" w:rsidR="00EF1F0F" w:rsidP="00EF1F0F" w:rsidRDefault="00EF1F0F" w14:paraId="09A484EA" w14:textId="77777777">
      <w:pPr>
        <w:jc w:val="center"/>
        <w:rPr>
          <w:highlight w:val="yellow"/>
        </w:rPr>
      </w:pPr>
    </w:p>
    <w:p w:rsidR="00EF1F0F" w:rsidP="00EF1F0F" w:rsidRDefault="00EF1F0F" w14:paraId="078BCA9F" w14:textId="77777777">
      <w:pPr>
        <w:jc w:val="center"/>
        <w:rPr>
          <w:highlight w:val="yellow"/>
        </w:rPr>
      </w:pPr>
    </w:p>
    <w:p w:rsidRPr="00CF2C81" w:rsidR="00CF2C81" w:rsidP="00CF2C81" w:rsidRDefault="00CF2C81" w14:paraId="09ED4498" w14:textId="77777777">
      <w:pPr>
        <w:jc w:val="center"/>
        <w:rPr>
          <w:rFonts w:ascii="Arial" w:hAnsi="Arial" w:cs="Arial"/>
          <w:color w:val="000000"/>
        </w:rPr>
      </w:pPr>
      <w:r w:rsidRPr="00CF2C81">
        <w:rPr>
          <w:rFonts w:ascii="Arial" w:hAnsi="Arial" w:cs="Arial"/>
          <w:color w:val="000000"/>
        </w:rPr>
        <w:t xml:space="preserve">Case virksomheden må ikke kontaktes. </w:t>
      </w:r>
    </w:p>
    <w:p w:rsidRPr="00564206" w:rsidR="00EF1F0F" w:rsidP="00EF1F0F" w:rsidRDefault="00EF1F0F" w14:paraId="18E8DF6D" w14:textId="77777777">
      <w:pPr>
        <w:jc w:val="center"/>
        <w:rPr>
          <w:highlight w:val="yellow"/>
        </w:rPr>
      </w:pPr>
    </w:p>
    <w:p w:rsidRPr="002B7527" w:rsidR="000C04D1" w:rsidP="000C04D1" w:rsidRDefault="000C04D1" w14:paraId="61FE6340" w14:textId="77777777">
      <w:pPr>
        <w:spacing w:after="240"/>
        <w:rPr>
          <w:rFonts w:eastAsia="Times New Roman" w:asciiTheme="majorHAnsi" w:hAnsiTheme="majorHAnsi" w:cstheme="majorHAnsi"/>
          <w:sz w:val="20"/>
          <w:szCs w:val="20"/>
        </w:rPr>
      </w:pPr>
    </w:p>
    <w:p w:rsidR="00C322F1" w:rsidP="00883CC9" w:rsidRDefault="00C322F1" w14:paraId="7D563D9A" w14:textId="77777777">
      <w:pPr>
        <w:jc w:val="center"/>
        <w:rPr>
          <w:rFonts w:ascii="Arial" w:hAnsi="Arial" w:cs="Arial"/>
          <w:color w:val="000000"/>
        </w:rPr>
      </w:pPr>
    </w:p>
    <w:p w:rsidR="00D17277" w:rsidRDefault="00D17277" w14:paraId="61FE6353" w14:textId="77777777">
      <w:pPr>
        <w:sectPr w:rsidR="00D17277" w:rsidSect="00D74F4C">
          <w:footerReference w:type="even" r:id="rId11"/>
          <w:footerReference w:type="default" r:id="rId12"/>
          <w:pgSz w:w="11900" w:h="16840" w:orient="portrait"/>
          <w:pgMar w:top="1701" w:right="1134" w:bottom="1701" w:left="1134" w:header="708" w:footer="708" w:gutter="0"/>
          <w:pgNumType w:start="1" w:chapStyle="1"/>
          <w:cols w:space="708"/>
          <w:docGrid w:linePitch="360"/>
        </w:sectPr>
      </w:pPr>
    </w:p>
    <w:p w:rsidR="00214922" w:rsidP="00B16891" w:rsidRDefault="007F3F65" w14:paraId="61FE6355" w14:textId="4A7A6ABC">
      <w:pPr>
        <w:pStyle w:val="Normal1"/>
        <w:jc w:val="right"/>
      </w:pPr>
      <w:r>
        <w:rPr>
          <w:noProof/>
        </w:rPr>
        <w:lastRenderedPageBreak/>
        <w:drawing>
          <wp:inline distT="0" distB="0" distL="0" distR="0" wp14:anchorId="0F688A56" wp14:editId="29E4D2DE">
            <wp:extent cx="1905000" cy="1905000"/>
            <wp:effectExtent l="0" t="0" r="0" b="0"/>
            <wp:docPr id="2" name="Billede 2" descr="roccamore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ccamore | LinkedI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35B">
        <w:br w:type="textWrapping" w:clear="all"/>
      </w:r>
    </w:p>
    <w:p w:rsidRPr="006D4C04" w:rsidR="00214922" w:rsidP="002B7527" w:rsidRDefault="00214922" w14:paraId="61FE6356" w14:textId="185EF2A6">
      <w:pPr>
        <w:spacing w:after="160" w:line="259" w:lineRule="auto"/>
        <w:rPr>
          <w:rFonts w:asciiTheme="majorHAnsi" w:hAnsiTheme="majorHAnsi" w:eastAsiaTheme="majorEastAsia" w:cstheme="majorBidi"/>
          <w:sz w:val="32"/>
          <w:szCs w:val="32"/>
          <w:lang w:eastAsia="en-US"/>
        </w:rPr>
      </w:pPr>
      <w:bookmarkStart w:name="h.1vm5dunakedv" w:colFirst="0" w:colLast="0" w:id="1"/>
      <w:bookmarkEnd w:id="1"/>
      <w:r w:rsidRPr="006D4C04">
        <w:rPr>
          <w:rFonts w:asciiTheme="majorHAnsi" w:hAnsiTheme="majorHAnsi" w:eastAsiaTheme="majorEastAsia" w:cstheme="majorBidi"/>
          <w:sz w:val="32"/>
          <w:szCs w:val="32"/>
          <w:lang w:eastAsia="en-US"/>
        </w:rPr>
        <w:t>1. Markedsføring</w:t>
      </w:r>
      <w:r w:rsidRPr="006D4C04" w:rsidR="0096289E">
        <w:rPr>
          <w:rFonts w:asciiTheme="majorHAnsi" w:hAnsiTheme="majorHAnsi" w:eastAsiaTheme="majorEastAsia" w:cstheme="majorBidi"/>
          <w:sz w:val="32"/>
          <w:szCs w:val="32"/>
          <w:lang w:eastAsia="en-US"/>
        </w:rPr>
        <w:t xml:space="preserve"> (</w:t>
      </w:r>
      <w:r w:rsidR="006917F9">
        <w:rPr>
          <w:rFonts w:asciiTheme="majorHAnsi" w:hAnsiTheme="majorHAnsi" w:eastAsiaTheme="majorEastAsia" w:cstheme="majorBidi"/>
          <w:sz w:val="32"/>
          <w:szCs w:val="32"/>
          <w:lang w:eastAsia="en-US"/>
        </w:rPr>
        <w:t>45</w:t>
      </w:r>
      <w:r w:rsidRPr="006D4C04" w:rsidR="0096289E">
        <w:rPr>
          <w:rFonts w:asciiTheme="majorHAnsi" w:hAnsiTheme="majorHAnsi" w:eastAsiaTheme="majorEastAsia" w:cstheme="majorBidi"/>
          <w:sz w:val="32"/>
          <w:szCs w:val="32"/>
          <w:lang w:eastAsia="en-US"/>
        </w:rPr>
        <w:t>%)</w:t>
      </w:r>
    </w:p>
    <w:p w:rsidRPr="00FD528C" w:rsidR="007B43A3" w:rsidP="008332B8" w:rsidRDefault="007B43A3" w14:paraId="18CE1374" w14:textId="77777777">
      <w:bookmarkStart w:name="h.ulgpdr6pyse4" w:colFirst="0" w:colLast="0" w:id="2"/>
      <w:bookmarkEnd w:id="2"/>
    </w:p>
    <w:p w:rsidRPr="00FD528C" w:rsidR="00514736" w:rsidP="00514736" w:rsidRDefault="005D6E99" w14:paraId="67C62E8A" w14:textId="6A3901D9">
      <w:r w:rsidRPr="00FD528C">
        <w:t>Som oplyst</w:t>
      </w:r>
      <w:r w:rsidRPr="00FD528C" w:rsidR="0096450F">
        <w:t xml:space="preserve"> i dag 1 materialet</w:t>
      </w:r>
      <w:r w:rsidRPr="00FD528C">
        <w:t xml:space="preserve">, </w:t>
      </w:r>
      <w:r w:rsidR="00B83908">
        <w:t>har</w:t>
      </w:r>
      <w:r w:rsidRPr="00FD528C">
        <w:t xml:space="preserve"> v</w:t>
      </w:r>
      <w:r w:rsidRPr="00FD528C" w:rsidR="00514736">
        <w:t>irksomheden</w:t>
      </w:r>
      <w:r w:rsidR="00916D25">
        <w:t xml:space="preserve"> valgt</w:t>
      </w:r>
      <w:r w:rsidRPr="00FD528C" w:rsidR="006F0AF5">
        <w:t xml:space="preserve"> </w:t>
      </w:r>
      <w:r w:rsidRPr="00FD528C" w:rsidR="007C29B5">
        <w:t>primært</w:t>
      </w:r>
      <w:r w:rsidRPr="00FD528C" w:rsidR="00514736">
        <w:t xml:space="preserve"> at markedsfør</w:t>
      </w:r>
      <w:r w:rsidR="00B83908">
        <w:t>t</w:t>
      </w:r>
      <w:r w:rsidRPr="00FD528C" w:rsidR="00514736">
        <w:t xml:space="preserve"> sine</w:t>
      </w:r>
      <w:r w:rsidRPr="00FD528C" w:rsidR="00194A37">
        <w:t xml:space="preserve"> </w:t>
      </w:r>
      <w:r w:rsidR="00B83908">
        <w:t>sko</w:t>
      </w:r>
      <w:r w:rsidR="008A4AD9">
        <w:t xml:space="preserve"> </w:t>
      </w:r>
      <w:r w:rsidRPr="00FD528C" w:rsidR="00387C84">
        <w:t>produkter</w:t>
      </w:r>
      <w:r w:rsidRPr="00FD528C" w:rsidR="007C29B5">
        <w:t>,</w:t>
      </w:r>
      <w:r w:rsidRPr="00FD528C" w:rsidR="00514736">
        <w:t xml:space="preserve"> over</w:t>
      </w:r>
      <w:r w:rsidR="00E7767E">
        <w:t xml:space="preserve"> </w:t>
      </w:r>
      <w:r w:rsidRPr="00FD528C" w:rsidR="00514736">
        <w:t>for en målgruppe med følgende karakteristika:</w:t>
      </w:r>
    </w:p>
    <w:p w:rsidR="00B83908" w:rsidP="00B83908" w:rsidRDefault="00B83908" w14:paraId="38B3A1AB" w14:textId="77777777">
      <w:pPr>
        <w:pStyle w:val="Listeafsnit"/>
        <w:numPr>
          <w:ilvl w:val="0"/>
          <w:numId w:val="20"/>
        </w:numPr>
        <w:spacing w:after="160" w:line="259" w:lineRule="auto"/>
      </w:pPr>
      <w:r>
        <w:t>Kvinder</w:t>
      </w:r>
    </w:p>
    <w:p w:rsidR="00B83908" w:rsidP="00B83908" w:rsidRDefault="00B83908" w14:paraId="5E4DEE58" w14:textId="77777777">
      <w:pPr>
        <w:pStyle w:val="Listeafsnit"/>
        <w:numPr>
          <w:ilvl w:val="0"/>
          <w:numId w:val="20"/>
        </w:numPr>
        <w:spacing w:after="160" w:line="259" w:lineRule="auto"/>
      </w:pPr>
      <w:r>
        <w:t>Alder 30-45 år</w:t>
      </w:r>
    </w:p>
    <w:p w:rsidR="00B83908" w:rsidP="00B83908" w:rsidRDefault="00B83908" w14:paraId="6EBD7BE9" w14:textId="77777777">
      <w:pPr>
        <w:pStyle w:val="Listeafsnit"/>
        <w:numPr>
          <w:ilvl w:val="0"/>
          <w:numId w:val="20"/>
        </w:numPr>
        <w:spacing w:after="160" w:line="259" w:lineRule="auto"/>
      </w:pPr>
      <w:r>
        <w:t>Karriere orienteret</w:t>
      </w:r>
    </w:p>
    <w:p w:rsidR="00B83908" w:rsidP="00B83908" w:rsidRDefault="00B83908" w14:paraId="76478098" w14:textId="77777777">
      <w:pPr>
        <w:pStyle w:val="Listeafsnit"/>
        <w:numPr>
          <w:ilvl w:val="0"/>
          <w:numId w:val="20"/>
        </w:numPr>
        <w:spacing w:after="160" w:line="259" w:lineRule="auto"/>
      </w:pPr>
      <w:r>
        <w:t>Fokuseret på kvalitet og funktion</w:t>
      </w:r>
    </w:p>
    <w:p w:rsidR="00B83908" w:rsidP="00B83908" w:rsidRDefault="00B83908" w14:paraId="301D373D" w14:textId="1357F20B">
      <w:r>
        <w:t>Fremover ønsker de dog at inkludere en mere moden gruppe af kunder. Her tænkes på 46-55-årige kvinder.</w:t>
      </w:r>
    </w:p>
    <w:p w:rsidRPr="00FD528C" w:rsidR="00514736" w:rsidP="008332B8" w:rsidRDefault="00514736" w14:paraId="504E773A" w14:textId="77777777"/>
    <w:p w:rsidR="00FD528C" w:rsidP="00FD528C" w:rsidRDefault="00FD528C" w14:paraId="0EB6037A" w14:textId="77777777"/>
    <w:p w:rsidR="007D720A" w:rsidP="00FD528C" w:rsidRDefault="007D720A" w14:paraId="5DC5D9E0" w14:textId="74C269AC">
      <w:pPr>
        <w:rPr>
          <w:b/>
          <w:bCs/>
        </w:rPr>
      </w:pPr>
      <w:r w:rsidRPr="007D720A">
        <w:rPr>
          <w:b/>
          <w:bCs/>
        </w:rPr>
        <w:t xml:space="preserve">Opgave </w:t>
      </w:r>
      <w:r w:rsidRPr="007D720A" w:rsidR="006F0AF5">
        <w:rPr>
          <w:b/>
          <w:bCs/>
        </w:rPr>
        <w:t>1.</w:t>
      </w:r>
      <w:r w:rsidR="00B83908">
        <w:rPr>
          <w:b/>
          <w:bCs/>
        </w:rPr>
        <w:t>1</w:t>
      </w:r>
      <w:r w:rsidRPr="007D720A" w:rsidR="00EF1F0F">
        <w:rPr>
          <w:b/>
          <w:bCs/>
        </w:rPr>
        <w:t xml:space="preserve"> </w:t>
      </w:r>
      <w:r w:rsidRPr="007D720A" w:rsidR="006917F9">
        <w:rPr>
          <w:b/>
          <w:bCs/>
        </w:rPr>
        <w:t>(</w:t>
      </w:r>
      <w:r w:rsidR="00916D25">
        <w:rPr>
          <w:b/>
          <w:bCs/>
        </w:rPr>
        <w:t>30</w:t>
      </w:r>
      <w:r w:rsidRPr="007D720A" w:rsidR="006917F9">
        <w:rPr>
          <w:b/>
          <w:bCs/>
        </w:rPr>
        <w:t>%)</w:t>
      </w:r>
    </w:p>
    <w:p w:rsidRPr="007D720A" w:rsidR="007E24C6" w:rsidP="00FD528C" w:rsidRDefault="007E24C6" w14:paraId="1BCA6D16" w14:textId="77777777">
      <w:pPr>
        <w:rPr>
          <w:b/>
          <w:bCs/>
        </w:rPr>
      </w:pPr>
    </w:p>
    <w:p w:rsidRPr="008A1B8F" w:rsidR="00E17C73" w:rsidP="00E17C73" w:rsidRDefault="00E17C73" w14:paraId="4785685D" w14:textId="58B95DC7">
      <w:r w:rsidRPr="008A1B8F">
        <w:t xml:space="preserve">Derfor ønsker </w:t>
      </w:r>
      <w:proofErr w:type="spellStart"/>
      <w:r w:rsidRPr="008A1B8F">
        <w:t>Roccamore</w:t>
      </w:r>
      <w:proofErr w:type="spellEnd"/>
      <w:r w:rsidRPr="008A1B8F">
        <w:t xml:space="preserve"> din hjælp med at udvikle et marketingmix med fokus på denne sekundære målgruppe af 46-55-årige kvinder.</w:t>
      </w:r>
    </w:p>
    <w:p w:rsidRPr="008A1B8F" w:rsidR="00E17C73" w:rsidP="00E17C73" w:rsidRDefault="00E17C73" w14:paraId="64018E40" w14:textId="5ACC9A2F">
      <w:r w:rsidRPr="008A1B8F">
        <w:t xml:space="preserve">Her ønskes som minimum et plan for, hvorledes </w:t>
      </w:r>
      <w:proofErr w:type="spellStart"/>
      <w:r w:rsidRPr="008A1B8F">
        <w:t>Roccamore</w:t>
      </w:r>
      <w:proofErr w:type="spellEnd"/>
      <w:r w:rsidRPr="008A1B8F">
        <w:t xml:space="preserve"> kan arbejde med nye indsatser på Promotion, Pris og Produkt.</w:t>
      </w:r>
    </w:p>
    <w:p w:rsidRPr="008A1B8F" w:rsidR="00E17C73" w:rsidP="00E17C73" w:rsidRDefault="00E17C73" w14:paraId="4A4804AD" w14:textId="7C77C722"/>
    <w:p w:rsidRPr="008A1B8F" w:rsidR="007D720A" w:rsidP="00FD528C" w:rsidRDefault="007D720A" w14:paraId="56D2F715" w14:textId="77777777">
      <w:pPr>
        <w:rPr>
          <w:b/>
          <w:bCs/>
        </w:rPr>
      </w:pPr>
    </w:p>
    <w:p w:rsidRPr="008A1B8F" w:rsidR="007D720A" w:rsidP="00FD528C" w:rsidRDefault="007D720A" w14:paraId="0C7C2E20" w14:textId="41217AD8">
      <w:pPr>
        <w:rPr>
          <w:b/>
          <w:bCs/>
        </w:rPr>
      </w:pPr>
      <w:r w:rsidRPr="008A1B8F">
        <w:rPr>
          <w:b/>
          <w:bCs/>
        </w:rPr>
        <w:t xml:space="preserve">Opgave </w:t>
      </w:r>
      <w:r w:rsidRPr="008A1B8F" w:rsidR="006F0AF5">
        <w:rPr>
          <w:b/>
          <w:bCs/>
        </w:rPr>
        <w:t>1.</w:t>
      </w:r>
      <w:r w:rsidRPr="008A1B8F" w:rsidR="00B83908">
        <w:rPr>
          <w:b/>
          <w:bCs/>
        </w:rPr>
        <w:t>2</w:t>
      </w:r>
      <w:r w:rsidRPr="008A1B8F" w:rsidR="006F0AF5">
        <w:rPr>
          <w:b/>
          <w:bCs/>
        </w:rPr>
        <w:t xml:space="preserve"> </w:t>
      </w:r>
      <w:r w:rsidRPr="008A1B8F" w:rsidR="006917F9">
        <w:rPr>
          <w:b/>
          <w:bCs/>
        </w:rPr>
        <w:t>(1</w:t>
      </w:r>
      <w:r w:rsidRPr="008A1B8F" w:rsidR="00916D25">
        <w:rPr>
          <w:b/>
          <w:bCs/>
        </w:rPr>
        <w:t>5</w:t>
      </w:r>
      <w:r w:rsidRPr="008A1B8F" w:rsidR="006917F9">
        <w:rPr>
          <w:b/>
          <w:bCs/>
        </w:rPr>
        <w:t>%)</w:t>
      </w:r>
    </w:p>
    <w:p w:rsidRPr="008A1B8F" w:rsidR="007E24C6" w:rsidP="00FD528C" w:rsidRDefault="007E24C6" w14:paraId="678D0120" w14:textId="77777777">
      <w:pPr>
        <w:rPr>
          <w:b/>
          <w:bCs/>
        </w:rPr>
      </w:pPr>
    </w:p>
    <w:p w:rsidRPr="008A1B8F" w:rsidR="006917F9" w:rsidP="00FD528C" w:rsidRDefault="006917F9" w14:paraId="1C746DC5" w14:textId="1949CAB9">
      <w:r w:rsidRPr="008A1B8F">
        <w:t xml:space="preserve">Giv et konkret og velargumenteret forslag til </w:t>
      </w:r>
      <w:r w:rsidRPr="008A1B8F" w:rsidR="000D1849">
        <w:t xml:space="preserve">et </w:t>
      </w:r>
      <w:r w:rsidRPr="008A1B8F" w:rsidR="008D7C68">
        <w:t xml:space="preserve">budskab i en kommende </w:t>
      </w:r>
      <w:r w:rsidRPr="008A1B8F" w:rsidR="008A4AD9">
        <w:t>kampagne</w:t>
      </w:r>
      <w:r w:rsidRPr="008A1B8F" w:rsidR="00551BB6">
        <w:t>, rettet mod</w:t>
      </w:r>
      <w:r w:rsidRPr="008A1B8F" w:rsidR="008D7C68">
        <w:t xml:space="preserve"> den nye og udvidede målgruppe</w:t>
      </w:r>
      <w:r w:rsidRPr="008A1B8F" w:rsidR="00916D25">
        <w:t xml:space="preserve"> af 46-55-årige kvinder</w:t>
      </w:r>
      <w:r w:rsidRPr="008A1B8F" w:rsidR="008D7C68">
        <w:t>.</w:t>
      </w:r>
    </w:p>
    <w:p w:rsidRPr="008A1B8F" w:rsidR="00E17C73" w:rsidP="00E17C73" w:rsidRDefault="00E17C73" w14:paraId="6CD24509" w14:textId="05888F13">
      <w:r w:rsidRPr="008A1B8F">
        <w:t>Der ønskes argumentation for kommunikationens målsætning og en beskrivelse af hvorledes udformningen af budskabet er fremkommet. Herunder bedes det beskrevet, hvilke kreative virkemidler du vil gøre brug af og hvorfor.</w:t>
      </w:r>
    </w:p>
    <w:p w:rsidRPr="008A1B8F" w:rsidR="008D7C68" w:rsidP="00FD528C" w:rsidRDefault="008D7C68" w14:paraId="78206431" w14:textId="59AF6646"/>
    <w:p w:rsidRPr="008A1B8F" w:rsidR="00BF5451" w:rsidP="00506D0A" w:rsidRDefault="00BF5451" w14:paraId="61F4BA36" w14:textId="6AF0B108">
      <w:pPr>
        <w:pStyle w:val="Normal1"/>
        <w:rPr>
          <w:color w:val="auto"/>
        </w:rPr>
      </w:pPr>
    </w:p>
    <w:p w:rsidR="00916D25" w:rsidP="00506D0A" w:rsidRDefault="00916D25" w14:paraId="2EC46762" w14:textId="3FBEEE99">
      <w:pPr>
        <w:pStyle w:val="Normal1"/>
      </w:pPr>
    </w:p>
    <w:p w:rsidR="00916D25" w:rsidP="00506D0A" w:rsidRDefault="00916D25" w14:paraId="1AD42ED0" w14:textId="77777777">
      <w:pPr>
        <w:pStyle w:val="Normal1"/>
      </w:pPr>
    </w:p>
    <w:p w:rsidRPr="00916D25" w:rsidR="00B83908" w:rsidP="00916D25" w:rsidRDefault="00B83908" w14:paraId="2058AE60" w14:textId="710DB109">
      <w:pPr>
        <w:spacing w:after="160" w:line="259" w:lineRule="auto"/>
        <w:rPr>
          <w:rFonts w:asciiTheme="majorHAnsi" w:hAnsiTheme="majorHAnsi" w:eastAsiaTheme="majorEastAsia" w:cstheme="majorBidi"/>
          <w:sz w:val="32"/>
          <w:szCs w:val="32"/>
          <w:lang w:eastAsia="en-US"/>
        </w:rPr>
      </w:pPr>
      <w:r w:rsidRPr="00916D25">
        <w:rPr>
          <w:rFonts w:asciiTheme="majorHAnsi" w:hAnsiTheme="majorHAnsi" w:eastAsiaTheme="majorEastAsia" w:cstheme="majorBidi"/>
          <w:sz w:val="32"/>
          <w:szCs w:val="32"/>
          <w:lang w:eastAsia="en-US"/>
        </w:rPr>
        <w:lastRenderedPageBreak/>
        <w:t>2. SCM (10%)</w:t>
      </w:r>
    </w:p>
    <w:p w:rsidR="00AB1D6D" w:rsidP="00AB1D6D" w:rsidRDefault="00AB1D6D" w14:paraId="1218AB0C" w14:textId="103D4230">
      <w:proofErr w:type="spellStart"/>
      <w:r w:rsidRPr="00AB1D6D">
        <w:t>Roccamore</w:t>
      </w:r>
      <w:proofErr w:type="spellEnd"/>
      <w:r>
        <w:t xml:space="preserve"> overvejer muligheden for at stoppe samarbejdet med eksterne forhandlere og derved kun have direkte distribution til slutbrugeren.</w:t>
      </w:r>
    </w:p>
    <w:p w:rsidRPr="00AB1D6D" w:rsidR="00AB1D6D" w:rsidP="00AB1D6D" w:rsidRDefault="00AB1D6D" w14:paraId="1920EB94" w14:textId="47A9743F">
      <w:r>
        <w:t>Hvilke Supply Chain</w:t>
      </w:r>
      <w:r w:rsidR="00E23A1B">
        <w:t xml:space="preserve"> Management</w:t>
      </w:r>
      <w:r>
        <w:t xml:space="preserve"> relaterede overvejelser vil det være relevant at </w:t>
      </w:r>
      <w:r w:rsidR="00E23A1B">
        <w:t xml:space="preserve">gøre sig og hvilke konsekvenser vil det kunne have for </w:t>
      </w:r>
      <w:proofErr w:type="spellStart"/>
      <w:r w:rsidR="00E23A1B">
        <w:t>Roccamore</w:t>
      </w:r>
      <w:proofErr w:type="spellEnd"/>
      <w:r w:rsidR="00E23A1B">
        <w:t>?</w:t>
      </w:r>
    </w:p>
    <w:p w:rsidR="00B83908" w:rsidP="003E1B4B" w:rsidRDefault="00B83908" w14:paraId="2E25B280" w14:textId="77777777">
      <w:pPr>
        <w:spacing w:after="160" w:line="259" w:lineRule="auto"/>
        <w:rPr>
          <w:rFonts w:asciiTheme="majorHAnsi" w:hAnsiTheme="majorHAnsi" w:eastAsiaTheme="majorEastAsia" w:cstheme="majorBidi"/>
          <w:sz w:val="32"/>
          <w:szCs w:val="32"/>
          <w:lang w:eastAsia="en-US"/>
        </w:rPr>
      </w:pPr>
    </w:p>
    <w:p w:rsidRPr="006D4C04" w:rsidR="00BF5451" w:rsidP="002B7527" w:rsidRDefault="003E1B4B" w14:paraId="6CEAEDF2" w14:textId="7F316A28">
      <w:pPr>
        <w:spacing w:after="160" w:line="259" w:lineRule="auto"/>
        <w:rPr>
          <w:rFonts w:asciiTheme="majorHAnsi" w:hAnsiTheme="majorHAnsi" w:eastAsiaTheme="majorEastAsia" w:cstheme="majorBidi"/>
          <w:sz w:val="32"/>
          <w:szCs w:val="32"/>
          <w:lang w:eastAsia="en-US"/>
        </w:rPr>
      </w:pPr>
      <w:r w:rsidRPr="006D4C04">
        <w:rPr>
          <w:rFonts w:asciiTheme="majorHAnsi" w:hAnsiTheme="majorHAnsi" w:eastAsiaTheme="majorEastAsia" w:cstheme="majorBidi"/>
          <w:sz w:val="32"/>
          <w:szCs w:val="32"/>
          <w:lang w:eastAsia="en-US"/>
        </w:rPr>
        <w:t>3</w:t>
      </w:r>
      <w:r w:rsidRPr="006D4C04" w:rsidR="0096289E">
        <w:rPr>
          <w:rFonts w:asciiTheme="majorHAnsi" w:hAnsiTheme="majorHAnsi" w:eastAsiaTheme="majorEastAsia" w:cstheme="majorBidi"/>
          <w:sz w:val="32"/>
          <w:szCs w:val="32"/>
          <w:lang w:eastAsia="en-US"/>
        </w:rPr>
        <w:t xml:space="preserve">. </w:t>
      </w:r>
      <w:bookmarkStart w:name="h.t00vjg80a67u" w:colFirst="0" w:colLast="0" w:id="3"/>
      <w:bookmarkStart w:name="h.n8ikdl71mt8t" w:colFirst="0" w:colLast="0" w:id="4"/>
      <w:bookmarkEnd w:id="3"/>
      <w:bookmarkEnd w:id="4"/>
      <w:r w:rsidRPr="006D4C04" w:rsidR="00BF5451">
        <w:rPr>
          <w:rFonts w:asciiTheme="majorHAnsi" w:hAnsiTheme="majorHAnsi" w:eastAsiaTheme="majorEastAsia" w:cstheme="majorBidi"/>
          <w:sz w:val="32"/>
          <w:szCs w:val="32"/>
          <w:lang w:eastAsia="en-US"/>
        </w:rPr>
        <w:t>Økonomi</w:t>
      </w:r>
      <w:r w:rsidRPr="006D4C04" w:rsidR="00E27B77">
        <w:rPr>
          <w:rFonts w:asciiTheme="majorHAnsi" w:hAnsiTheme="majorHAnsi" w:eastAsiaTheme="majorEastAsia" w:cstheme="majorBidi"/>
          <w:sz w:val="32"/>
          <w:szCs w:val="32"/>
          <w:lang w:eastAsia="en-US"/>
        </w:rPr>
        <w:t xml:space="preserve"> (</w:t>
      </w:r>
      <w:r w:rsidR="006917F9">
        <w:rPr>
          <w:rFonts w:asciiTheme="majorHAnsi" w:hAnsiTheme="majorHAnsi" w:eastAsiaTheme="majorEastAsia" w:cstheme="majorBidi"/>
          <w:sz w:val="32"/>
          <w:szCs w:val="32"/>
          <w:lang w:eastAsia="en-US"/>
        </w:rPr>
        <w:t>35</w:t>
      </w:r>
      <w:r w:rsidRPr="006D4C04" w:rsidR="00E27B77">
        <w:rPr>
          <w:rFonts w:asciiTheme="majorHAnsi" w:hAnsiTheme="majorHAnsi" w:eastAsiaTheme="majorEastAsia" w:cstheme="majorBidi"/>
          <w:sz w:val="32"/>
          <w:szCs w:val="32"/>
          <w:lang w:eastAsia="en-US"/>
        </w:rPr>
        <w:t>%)</w:t>
      </w:r>
    </w:p>
    <w:p w:rsidR="00894E59" w:rsidP="00894E59" w:rsidRDefault="00FF52A3" w14:paraId="1FAD65DC" w14:textId="4B591253">
      <w:r>
        <w:rPr>
          <w:b/>
          <w:bCs/>
        </w:rPr>
        <w:t>Opgave 3.1</w:t>
      </w:r>
      <w:r w:rsidR="00894E59">
        <w:rPr>
          <w:b/>
          <w:bCs/>
        </w:rPr>
        <w:t xml:space="preserve"> (7,5%)</w:t>
      </w:r>
      <w:r w:rsidR="00894E59">
        <w:br/>
      </w:r>
    </w:p>
    <w:p w:rsidR="00894E59" w:rsidP="00894E59" w:rsidRDefault="00FF52A3" w14:paraId="5A297A11" w14:textId="3E329095">
      <w:r>
        <w:t>Redegør for begreberne</w:t>
      </w:r>
      <w:r w:rsidR="00894E59">
        <w:t xml:space="preserve"> pris</w:t>
      </w:r>
      <w:r>
        <w:t xml:space="preserve">- </w:t>
      </w:r>
      <w:r w:rsidRPr="0073665B">
        <w:t>og indkomst</w:t>
      </w:r>
      <w:r w:rsidRPr="0073665B" w:rsidR="00894E59">
        <w:t>elasticitet</w:t>
      </w:r>
      <w:r w:rsidR="00894E59">
        <w:t xml:space="preserve"> og forklar hvorfor visse typer af produkter er mere pris</w:t>
      </w:r>
      <w:r w:rsidRPr="0073665B">
        <w:t>- og indkomst</w:t>
      </w:r>
      <w:r w:rsidRPr="0073665B" w:rsidR="00894E59">
        <w:t>elastiske</w:t>
      </w:r>
      <w:r w:rsidR="00894E59">
        <w:t xml:space="preserve"> end andre.</w:t>
      </w:r>
    </w:p>
    <w:p w:rsidR="00FF52A3" w:rsidP="00894E59" w:rsidRDefault="00FF52A3" w14:paraId="34E17A13" w14:textId="2ECACD1A"/>
    <w:p w:rsidRPr="00CD7DED" w:rsidR="00FF52A3" w:rsidP="00FF52A3" w:rsidRDefault="00FF52A3" w14:paraId="3FD0F2F4" w14:textId="77777777">
      <w:pPr>
        <w:rPr>
          <w:b/>
          <w:bCs/>
        </w:rPr>
      </w:pPr>
      <w:r>
        <w:rPr>
          <w:b/>
          <w:bCs/>
        </w:rPr>
        <w:t>Opgave 3.2 (7,5%)</w:t>
      </w:r>
    </w:p>
    <w:p w:rsidR="00FF52A3" w:rsidP="00FF52A3" w:rsidRDefault="00FF52A3" w14:paraId="4E05620B" w14:textId="77777777"/>
    <w:p w:rsidR="00FF52A3" w:rsidP="00FF52A3" w:rsidRDefault="00FF52A3" w14:paraId="352B2986" w14:textId="3F8F0CF3">
      <w:r>
        <w:t xml:space="preserve">Hos </w:t>
      </w:r>
      <w:proofErr w:type="spellStart"/>
      <w:r>
        <w:t>Roccamore</w:t>
      </w:r>
      <w:proofErr w:type="spellEnd"/>
      <w:r>
        <w:t xml:space="preserve"> regner de med at sælge 30.000 par sko i 2022. På grund af den høje inflation ventes realindkomsten i 2023 at falde med 0,5%. Sko i </w:t>
      </w:r>
      <w:proofErr w:type="spellStart"/>
      <w:r>
        <w:t>Roccamores</w:t>
      </w:r>
      <w:proofErr w:type="spellEnd"/>
      <w:r>
        <w:t xml:space="preserve"> prisklasse kan antages at have en indkomstelasticitet på 2,5. I forbindelse med budgetteringen for 2023 vil </w:t>
      </w:r>
      <w:proofErr w:type="spellStart"/>
      <w:r>
        <w:t>Roccamores</w:t>
      </w:r>
      <w:proofErr w:type="spellEnd"/>
      <w:r>
        <w:t xml:space="preserve"> ledelse gerne have beregnet, hvor meget afsætningen af </w:t>
      </w:r>
      <w:proofErr w:type="spellStart"/>
      <w:r>
        <w:t>Roccamore</w:t>
      </w:r>
      <w:proofErr w:type="spellEnd"/>
      <w:r>
        <w:t xml:space="preserve"> sko kan forventes at ændre sig på grund af ændringen i realindkomst. Beregn dette.</w:t>
      </w:r>
      <w:r>
        <w:br/>
      </w:r>
    </w:p>
    <w:p w:rsidR="00894E59" w:rsidP="00894E59" w:rsidRDefault="00894E59" w14:paraId="043CD384" w14:textId="77777777"/>
    <w:p w:rsidR="00894E59" w:rsidP="00894E59" w:rsidRDefault="00894E59" w14:paraId="2C8B33AA" w14:textId="57CE9C76">
      <w:r w:rsidRPr="00CD7DED">
        <w:rPr>
          <w:b/>
          <w:bCs/>
        </w:rPr>
        <w:t>Opgave 3.3</w:t>
      </w:r>
      <w:r>
        <w:rPr>
          <w:b/>
          <w:bCs/>
        </w:rPr>
        <w:t xml:space="preserve"> (7,5%)</w:t>
      </w:r>
      <w:r>
        <w:br/>
      </w:r>
      <w:r>
        <w:br/>
      </w:r>
      <w:r>
        <w:t xml:space="preserve">For 2023 budgetterer </w:t>
      </w:r>
      <w:proofErr w:type="spellStart"/>
      <w:r>
        <w:t>Roccamore</w:t>
      </w:r>
      <w:proofErr w:type="spellEnd"/>
      <w:r>
        <w:t xml:space="preserve"> med et vareforbrug på 16 mio. kr. Omsætningshastigheden for varekreditorer har hidtil ligget på 8. </w:t>
      </w:r>
      <w:proofErr w:type="spellStart"/>
      <w:r>
        <w:t>Roccamore</w:t>
      </w:r>
      <w:proofErr w:type="spellEnd"/>
      <w:r>
        <w:t xml:space="preserve"> satser nu på at kunne øge betalingsfristen til 2 måneder hos deres leverandører. Under forudsætning af at dette lykkedes, bedes du beregne hvor meget </w:t>
      </w:r>
      <w:proofErr w:type="spellStart"/>
      <w:r>
        <w:t>Roccamores</w:t>
      </w:r>
      <w:proofErr w:type="spellEnd"/>
      <w:r>
        <w:t xml:space="preserve"> likviditetsmæssige stilling ultimo 2023 kan forbedres på grund af dette tiltag</w:t>
      </w:r>
      <w:r w:rsidR="00FF52A3">
        <w:t xml:space="preserve"> </w:t>
      </w:r>
      <w:r w:rsidRPr="0073665B" w:rsidR="00FF52A3">
        <w:t>(lagrene antages at være konstante)</w:t>
      </w:r>
      <w:r w:rsidR="0073665B">
        <w:t>.</w:t>
      </w:r>
    </w:p>
    <w:p w:rsidR="00894E59" w:rsidP="00894E59" w:rsidRDefault="00894E59" w14:paraId="7349C9E3" w14:textId="77777777"/>
    <w:p w:rsidRPr="00CD7DED" w:rsidR="00894E59" w:rsidP="00894E59" w:rsidRDefault="00894E59" w14:paraId="70D2EE17" w14:textId="77777777">
      <w:pPr>
        <w:rPr>
          <w:b/>
          <w:bCs/>
        </w:rPr>
      </w:pPr>
      <w:r w:rsidRPr="00CD7DED">
        <w:rPr>
          <w:b/>
          <w:bCs/>
        </w:rPr>
        <w:t>Opgave 3.4</w:t>
      </w:r>
      <w:r>
        <w:rPr>
          <w:b/>
          <w:bCs/>
        </w:rPr>
        <w:t xml:space="preserve"> (12,5%)</w:t>
      </w:r>
    </w:p>
    <w:p w:rsidR="00894E59" w:rsidP="00894E59" w:rsidRDefault="00894E59" w14:paraId="6704E675" w14:textId="77777777"/>
    <w:p w:rsidR="00894E59" w:rsidP="00894E59" w:rsidRDefault="00894E59" w14:paraId="420A0B51" w14:textId="77777777">
      <w:r>
        <w:t xml:space="preserve">Som modtræk mod den forventede nedgang i realindkomst og stigende inflation, har </w:t>
      </w:r>
      <w:proofErr w:type="spellStart"/>
      <w:r>
        <w:t>Roccamore</w:t>
      </w:r>
      <w:proofErr w:type="spellEnd"/>
      <w:r>
        <w:t xml:space="preserve"> udviklet en ny skoserie, som lever op til </w:t>
      </w:r>
      <w:proofErr w:type="spellStart"/>
      <w:r>
        <w:t>Roccamores</w:t>
      </w:r>
      <w:proofErr w:type="spellEnd"/>
      <w:r>
        <w:t xml:space="preserve"> brand, men som skal kunne sælges billigere end de tidligere sko, der forventes at stige markant i pris.</w:t>
      </w:r>
      <w:r>
        <w:br/>
      </w:r>
      <w:r>
        <w:br/>
      </w:r>
      <w:r>
        <w:t xml:space="preserve">Gennem kreativt design, materialevalg og forhandlinger med leverandørerne er </w:t>
      </w:r>
      <w:proofErr w:type="spellStart"/>
      <w:r>
        <w:t>Roccamore</w:t>
      </w:r>
      <w:proofErr w:type="spellEnd"/>
      <w:r>
        <w:t xml:space="preserve"> nået frem til følgende sammenhæng mellem pris, afsætning og omkostninger.</w:t>
      </w:r>
    </w:p>
    <w:p w:rsidR="00EE6FA3" w:rsidP="00894E59" w:rsidRDefault="00894E59" w14:paraId="71DA2BA7" w14:textId="4ADC0978">
      <w:r>
        <w:br/>
      </w:r>
      <w:r>
        <w:t xml:space="preserve">Du bedes komme med en begrundet anbefaling til hvilken pris </w:t>
      </w:r>
      <w:proofErr w:type="spellStart"/>
      <w:r>
        <w:t>Roccamores</w:t>
      </w:r>
      <w:proofErr w:type="spellEnd"/>
      <w:r>
        <w:t xml:space="preserve"> nye skoserie skal sælges til. Anbefalingen skal ske på et beregnet grundlag. </w:t>
      </w:r>
      <w:r w:rsidRPr="0073665B" w:rsidR="008C03CE">
        <w:t xml:space="preserve">Det forudsættes, at </w:t>
      </w:r>
      <w:proofErr w:type="spellStart"/>
      <w:r w:rsidRPr="0073665B" w:rsidR="008C03CE">
        <w:t>Roccamore</w:t>
      </w:r>
      <w:proofErr w:type="spellEnd"/>
      <w:r w:rsidRPr="0073665B" w:rsidR="008C03CE">
        <w:t xml:space="preserve"> sælger gennem egen webshop og egne butikker.</w:t>
      </w:r>
      <w:r>
        <w:br/>
      </w:r>
    </w:p>
    <w:p w:rsidR="00EE6FA3" w:rsidRDefault="00EE6FA3" w14:paraId="23E53C1D" w14:textId="77777777">
      <w:r>
        <w:br w:type="page"/>
      </w:r>
    </w:p>
    <w:tbl>
      <w:tblPr>
        <w:tblW w:w="6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1760"/>
        <w:gridCol w:w="1760"/>
      </w:tblGrid>
      <w:tr w:rsidRPr="00340D77" w:rsidR="00894E59" w:rsidTr="007C3B72" w14:paraId="50AE2CCB" w14:textId="77777777">
        <w:trPr>
          <w:trHeight w:val="170"/>
        </w:trPr>
        <w:tc>
          <w:tcPr>
            <w:tcW w:w="2580" w:type="dxa"/>
            <w:shd w:val="clear" w:color="auto" w:fill="auto"/>
            <w:noWrap/>
            <w:vAlign w:val="bottom"/>
            <w:hideMark/>
          </w:tcPr>
          <w:p w:rsidRPr="00340D77" w:rsidR="00894E59" w:rsidP="007C3B72" w:rsidRDefault="00894E59" w14:paraId="22C0229C" w14:textId="77777777">
            <w:r w:rsidRPr="00340D77">
              <w:lastRenderedPageBreak/>
              <w:t>Pris</w:t>
            </w:r>
            <w:r w:rsidRPr="00CD7DED">
              <w:t xml:space="preserve"> </w:t>
            </w:r>
            <w:proofErr w:type="spellStart"/>
            <w:r w:rsidRPr="00340D77">
              <w:t>incl.moms</w:t>
            </w:r>
            <w:proofErr w:type="spellEnd"/>
            <w:r w:rsidRPr="00CD7DED">
              <w:t xml:space="preserve"> (kr.)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Pr="00340D77" w:rsidR="00894E59" w:rsidP="007C3B72" w:rsidRDefault="00894E59" w14:paraId="3FFC7651" w14:textId="77777777">
            <w:r w:rsidRPr="00340D77">
              <w:t>Afsætning</w:t>
            </w:r>
            <w:r w:rsidRPr="00CD7DED">
              <w:t xml:space="preserve"> (stk.)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Pr="00340D77" w:rsidR="00894E59" w:rsidP="007C3B72" w:rsidRDefault="00894E59" w14:paraId="5353CB61" w14:textId="77777777">
            <w:r w:rsidRPr="00340D77">
              <w:t>VE</w:t>
            </w:r>
            <w:r w:rsidRPr="00CD7DED">
              <w:t xml:space="preserve"> (kr.)</w:t>
            </w:r>
          </w:p>
        </w:tc>
      </w:tr>
      <w:tr w:rsidRPr="00340D77" w:rsidR="00894E59" w:rsidTr="007C3B72" w14:paraId="6E8C7ACA" w14:textId="77777777">
        <w:trPr>
          <w:trHeight w:val="170"/>
        </w:trPr>
        <w:tc>
          <w:tcPr>
            <w:tcW w:w="2580" w:type="dxa"/>
            <w:shd w:val="clear" w:color="auto" w:fill="auto"/>
            <w:noWrap/>
            <w:vAlign w:val="bottom"/>
            <w:hideMark/>
          </w:tcPr>
          <w:p w:rsidRPr="00340D77" w:rsidR="00894E59" w:rsidP="007C3B72" w:rsidRDefault="00894E59" w14:paraId="44F93872" w14:textId="77777777">
            <w:r w:rsidRPr="00340D77">
              <w:t>2.500,00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Pr="00340D77" w:rsidR="00894E59" w:rsidP="007C3B72" w:rsidRDefault="00894E59" w14:paraId="27F738F2" w14:textId="77777777">
            <w:r w:rsidRPr="00340D77">
              <w:t>2.428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Pr="00340D77" w:rsidR="00894E59" w:rsidP="007C3B72" w:rsidRDefault="00894E59" w14:paraId="525052FC" w14:textId="77777777">
            <w:r w:rsidRPr="00340D77">
              <w:t>685</w:t>
            </w:r>
          </w:p>
        </w:tc>
      </w:tr>
      <w:tr w:rsidRPr="00340D77" w:rsidR="00894E59" w:rsidTr="007C3B72" w14:paraId="676DD9FB" w14:textId="77777777">
        <w:trPr>
          <w:trHeight w:val="170"/>
        </w:trPr>
        <w:tc>
          <w:tcPr>
            <w:tcW w:w="2580" w:type="dxa"/>
            <w:shd w:val="clear" w:color="auto" w:fill="auto"/>
            <w:noWrap/>
            <w:vAlign w:val="bottom"/>
            <w:hideMark/>
          </w:tcPr>
          <w:p w:rsidRPr="00340D77" w:rsidR="00894E59" w:rsidP="007C3B72" w:rsidRDefault="00894E59" w14:paraId="1E4F9125" w14:textId="77777777">
            <w:r w:rsidRPr="00340D77">
              <w:t>2.450,00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Pr="00340D77" w:rsidR="00894E59" w:rsidP="007C3B72" w:rsidRDefault="00894E59" w14:paraId="6D7FF25C" w14:textId="77777777">
            <w:r w:rsidRPr="00340D77">
              <w:t>2.510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Pr="00340D77" w:rsidR="00894E59" w:rsidP="007C3B72" w:rsidRDefault="00894E59" w14:paraId="60819CEB" w14:textId="77777777">
            <w:r w:rsidRPr="00340D77">
              <w:t>683</w:t>
            </w:r>
          </w:p>
        </w:tc>
      </w:tr>
      <w:tr w:rsidRPr="00340D77" w:rsidR="00894E59" w:rsidTr="007C3B72" w14:paraId="7B126F58" w14:textId="77777777">
        <w:trPr>
          <w:trHeight w:val="170"/>
        </w:trPr>
        <w:tc>
          <w:tcPr>
            <w:tcW w:w="2580" w:type="dxa"/>
            <w:shd w:val="clear" w:color="auto" w:fill="auto"/>
            <w:noWrap/>
            <w:vAlign w:val="bottom"/>
            <w:hideMark/>
          </w:tcPr>
          <w:p w:rsidRPr="00340D77" w:rsidR="00894E59" w:rsidP="007C3B72" w:rsidRDefault="00894E59" w14:paraId="7C5060A0" w14:textId="77777777">
            <w:r w:rsidRPr="00340D77">
              <w:t>2.400,00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Pr="00340D77" w:rsidR="00894E59" w:rsidP="007C3B72" w:rsidRDefault="00894E59" w14:paraId="3297D04A" w14:textId="77777777">
            <w:r w:rsidRPr="00340D77">
              <w:t>2.598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Pr="00340D77" w:rsidR="00894E59" w:rsidP="007C3B72" w:rsidRDefault="00894E59" w14:paraId="051E6B99" w14:textId="77777777">
            <w:r w:rsidRPr="00340D77">
              <w:t>682</w:t>
            </w:r>
          </w:p>
        </w:tc>
      </w:tr>
      <w:tr w:rsidRPr="00340D77" w:rsidR="00894E59" w:rsidTr="007C3B72" w14:paraId="257FB28D" w14:textId="77777777">
        <w:trPr>
          <w:trHeight w:val="170"/>
        </w:trPr>
        <w:tc>
          <w:tcPr>
            <w:tcW w:w="2580" w:type="dxa"/>
            <w:shd w:val="clear" w:color="auto" w:fill="auto"/>
            <w:noWrap/>
            <w:vAlign w:val="bottom"/>
            <w:hideMark/>
          </w:tcPr>
          <w:p w:rsidRPr="00340D77" w:rsidR="00894E59" w:rsidP="007C3B72" w:rsidRDefault="00894E59" w14:paraId="0D468DF7" w14:textId="77777777">
            <w:r w:rsidRPr="00340D77">
              <w:t>2.350,00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Pr="00340D77" w:rsidR="00894E59" w:rsidP="007C3B72" w:rsidRDefault="00894E59" w14:paraId="66C0EE1B" w14:textId="77777777">
            <w:r w:rsidRPr="00340D77">
              <w:t>2.692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Pr="00340D77" w:rsidR="00894E59" w:rsidP="007C3B72" w:rsidRDefault="00894E59" w14:paraId="127B768D" w14:textId="77777777">
            <w:r w:rsidRPr="00340D77">
              <w:t>680</w:t>
            </w:r>
          </w:p>
        </w:tc>
      </w:tr>
      <w:tr w:rsidRPr="00340D77" w:rsidR="00894E59" w:rsidTr="007C3B72" w14:paraId="0919891A" w14:textId="77777777">
        <w:trPr>
          <w:trHeight w:val="170"/>
        </w:trPr>
        <w:tc>
          <w:tcPr>
            <w:tcW w:w="2580" w:type="dxa"/>
            <w:shd w:val="clear" w:color="auto" w:fill="auto"/>
            <w:noWrap/>
            <w:vAlign w:val="bottom"/>
            <w:hideMark/>
          </w:tcPr>
          <w:p w:rsidRPr="00340D77" w:rsidR="00894E59" w:rsidP="007C3B72" w:rsidRDefault="00894E59" w14:paraId="2EF18EF6" w14:textId="77777777">
            <w:r w:rsidRPr="00340D77">
              <w:t>2.300,00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Pr="00340D77" w:rsidR="00894E59" w:rsidP="007C3B72" w:rsidRDefault="00894E59" w14:paraId="04062EA4" w14:textId="77777777">
            <w:r w:rsidRPr="00340D77">
              <w:t>2.791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Pr="00340D77" w:rsidR="00894E59" w:rsidP="007C3B72" w:rsidRDefault="00894E59" w14:paraId="7C37F0B0" w14:textId="77777777">
            <w:r w:rsidRPr="00340D77">
              <w:t>678</w:t>
            </w:r>
          </w:p>
        </w:tc>
      </w:tr>
      <w:tr w:rsidRPr="00340D77" w:rsidR="00894E59" w:rsidTr="007C3B72" w14:paraId="61EEB39B" w14:textId="77777777">
        <w:trPr>
          <w:trHeight w:val="170"/>
        </w:trPr>
        <w:tc>
          <w:tcPr>
            <w:tcW w:w="2580" w:type="dxa"/>
            <w:shd w:val="clear" w:color="auto" w:fill="auto"/>
            <w:noWrap/>
            <w:vAlign w:val="bottom"/>
            <w:hideMark/>
          </w:tcPr>
          <w:p w:rsidRPr="00340D77" w:rsidR="00894E59" w:rsidP="007C3B72" w:rsidRDefault="00894E59" w14:paraId="33AD52FC" w14:textId="77777777">
            <w:r w:rsidRPr="00340D77">
              <w:t>2.250,00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Pr="00340D77" w:rsidR="00894E59" w:rsidP="007C3B72" w:rsidRDefault="00894E59" w14:paraId="1B554B4A" w14:textId="77777777">
            <w:r w:rsidRPr="00340D77">
              <w:t>2.895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Pr="00340D77" w:rsidR="00894E59" w:rsidP="007C3B72" w:rsidRDefault="00894E59" w14:paraId="32362323" w14:textId="77777777">
            <w:r w:rsidRPr="00340D77">
              <w:t>677</w:t>
            </w:r>
          </w:p>
        </w:tc>
      </w:tr>
      <w:tr w:rsidRPr="00340D77" w:rsidR="00894E59" w:rsidTr="007C3B72" w14:paraId="0A341712" w14:textId="77777777">
        <w:trPr>
          <w:trHeight w:val="170"/>
        </w:trPr>
        <w:tc>
          <w:tcPr>
            <w:tcW w:w="2580" w:type="dxa"/>
            <w:shd w:val="clear" w:color="auto" w:fill="auto"/>
            <w:noWrap/>
            <w:vAlign w:val="bottom"/>
            <w:hideMark/>
          </w:tcPr>
          <w:p w:rsidRPr="00340D77" w:rsidR="00894E59" w:rsidP="007C3B72" w:rsidRDefault="00894E59" w14:paraId="1D6D1C80" w14:textId="77777777">
            <w:r w:rsidRPr="00340D77">
              <w:t>2.200,00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Pr="00340D77" w:rsidR="00894E59" w:rsidP="007C3B72" w:rsidRDefault="00894E59" w14:paraId="7DEB1025" w14:textId="77777777">
            <w:r w:rsidRPr="00340D77">
              <w:t>3.005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Pr="00340D77" w:rsidR="00894E59" w:rsidP="007C3B72" w:rsidRDefault="00894E59" w14:paraId="3DD75DBE" w14:textId="77777777">
            <w:r w:rsidRPr="00340D77">
              <w:t>675</w:t>
            </w:r>
          </w:p>
        </w:tc>
      </w:tr>
      <w:tr w:rsidRPr="00340D77" w:rsidR="00894E59" w:rsidTr="007C3B72" w14:paraId="65FF2182" w14:textId="77777777">
        <w:trPr>
          <w:trHeight w:val="170"/>
        </w:trPr>
        <w:tc>
          <w:tcPr>
            <w:tcW w:w="2580" w:type="dxa"/>
            <w:shd w:val="clear" w:color="auto" w:fill="auto"/>
            <w:noWrap/>
            <w:vAlign w:val="bottom"/>
            <w:hideMark/>
          </w:tcPr>
          <w:p w:rsidRPr="00340D77" w:rsidR="00894E59" w:rsidP="007C3B72" w:rsidRDefault="00894E59" w14:paraId="0B65C73D" w14:textId="77777777">
            <w:r w:rsidRPr="00340D77">
              <w:t>2.150,00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Pr="00340D77" w:rsidR="00894E59" w:rsidP="007C3B72" w:rsidRDefault="00894E59" w14:paraId="5A991D64" w14:textId="77777777">
            <w:r w:rsidRPr="00340D77">
              <w:t>3.121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Pr="00340D77" w:rsidR="00894E59" w:rsidP="007C3B72" w:rsidRDefault="00894E59" w14:paraId="3F0961F1" w14:textId="77777777">
            <w:r w:rsidRPr="00340D77">
              <w:t>673</w:t>
            </w:r>
          </w:p>
        </w:tc>
      </w:tr>
      <w:tr w:rsidRPr="00340D77" w:rsidR="00894E59" w:rsidTr="007C3B72" w14:paraId="2BEE4F5A" w14:textId="77777777">
        <w:trPr>
          <w:trHeight w:val="170"/>
        </w:trPr>
        <w:tc>
          <w:tcPr>
            <w:tcW w:w="2580" w:type="dxa"/>
            <w:shd w:val="clear" w:color="auto" w:fill="auto"/>
            <w:noWrap/>
            <w:vAlign w:val="bottom"/>
            <w:hideMark/>
          </w:tcPr>
          <w:p w:rsidRPr="00340D77" w:rsidR="00894E59" w:rsidP="007C3B72" w:rsidRDefault="00894E59" w14:paraId="07B55298" w14:textId="77777777">
            <w:r w:rsidRPr="00340D77">
              <w:t>2.100,00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Pr="00340D77" w:rsidR="00894E59" w:rsidP="007C3B72" w:rsidRDefault="00894E59" w14:paraId="522E46F1" w14:textId="77777777">
            <w:r w:rsidRPr="00340D77">
              <w:t>3.242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Pr="00340D77" w:rsidR="00894E59" w:rsidP="007C3B72" w:rsidRDefault="00894E59" w14:paraId="54646E75" w14:textId="77777777">
            <w:r w:rsidRPr="00340D77">
              <w:t>672</w:t>
            </w:r>
          </w:p>
        </w:tc>
      </w:tr>
      <w:tr w:rsidRPr="00340D77" w:rsidR="00894E59" w:rsidTr="007C3B72" w14:paraId="3F13C222" w14:textId="77777777">
        <w:trPr>
          <w:trHeight w:val="170"/>
        </w:trPr>
        <w:tc>
          <w:tcPr>
            <w:tcW w:w="2580" w:type="dxa"/>
            <w:shd w:val="clear" w:color="auto" w:fill="auto"/>
            <w:noWrap/>
            <w:vAlign w:val="bottom"/>
            <w:hideMark/>
          </w:tcPr>
          <w:p w:rsidRPr="00340D77" w:rsidR="00894E59" w:rsidP="007C3B72" w:rsidRDefault="00894E59" w14:paraId="70670928" w14:textId="77777777">
            <w:r w:rsidRPr="00340D77">
              <w:t>2.050,00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Pr="00340D77" w:rsidR="00894E59" w:rsidP="007C3B72" w:rsidRDefault="00894E59" w14:paraId="3BD73F17" w14:textId="77777777">
            <w:r w:rsidRPr="00340D77">
              <w:t>3.368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Pr="00340D77" w:rsidR="00894E59" w:rsidP="007C3B72" w:rsidRDefault="00894E59" w14:paraId="4B9C1D10" w14:textId="77777777">
            <w:r w:rsidRPr="00340D77">
              <w:t>670</w:t>
            </w:r>
          </w:p>
        </w:tc>
      </w:tr>
      <w:tr w:rsidRPr="00340D77" w:rsidR="00894E59" w:rsidTr="007C3B72" w14:paraId="64F2DEC0" w14:textId="77777777">
        <w:trPr>
          <w:trHeight w:val="170"/>
        </w:trPr>
        <w:tc>
          <w:tcPr>
            <w:tcW w:w="2580" w:type="dxa"/>
            <w:shd w:val="clear" w:color="auto" w:fill="auto"/>
            <w:noWrap/>
            <w:vAlign w:val="bottom"/>
            <w:hideMark/>
          </w:tcPr>
          <w:p w:rsidRPr="00340D77" w:rsidR="00894E59" w:rsidP="007C3B72" w:rsidRDefault="00894E59" w14:paraId="740B6B97" w14:textId="77777777">
            <w:r w:rsidRPr="00340D77">
              <w:t>2.000,00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Pr="00340D77" w:rsidR="00894E59" w:rsidP="007C3B72" w:rsidRDefault="00894E59" w14:paraId="752B6681" w14:textId="77777777">
            <w:r w:rsidRPr="00340D77">
              <w:t>3.500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Pr="00340D77" w:rsidR="00894E59" w:rsidP="007C3B72" w:rsidRDefault="00894E59" w14:paraId="1D085D60" w14:textId="77777777">
            <w:r w:rsidRPr="00340D77">
              <w:t>668</w:t>
            </w:r>
          </w:p>
        </w:tc>
      </w:tr>
    </w:tbl>
    <w:p w:rsidR="00894E59" w:rsidP="00894E59" w:rsidRDefault="00894E59" w14:paraId="54585267" w14:textId="77777777"/>
    <w:p w:rsidR="00894E59" w:rsidP="00894E59" w:rsidRDefault="00894E59" w14:paraId="5B5E0D69" w14:textId="77777777"/>
    <w:p w:rsidRPr="006D4C04" w:rsidR="004B28E4" w:rsidP="002B7527" w:rsidRDefault="003E1B4B" w14:paraId="61FE6368" w14:textId="5570E79C">
      <w:pPr>
        <w:spacing w:after="160" w:line="259" w:lineRule="auto"/>
        <w:rPr>
          <w:rFonts w:asciiTheme="majorHAnsi" w:hAnsiTheme="majorHAnsi" w:eastAsiaTheme="majorEastAsia" w:cstheme="majorBidi"/>
          <w:sz w:val="32"/>
          <w:szCs w:val="32"/>
          <w:lang w:eastAsia="en-US"/>
        </w:rPr>
      </w:pPr>
      <w:r w:rsidRPr="006D4C04">
        <w:rPr>
          <w:rFonts w:asciiTheme="majorHAnsi" w:hAnsiTheme="majorHAnsi" w:eastAsiaTheme="majorEastAsia" w:cstheme="majorBidi"/>
          <w:sz w:val="32"/>
          <w:szCs w:val="32"/>
          <w:lang w:eastAsia="en-US"/>
        </w:rPr>
        <w:t>4</w:t>
      </w:r>
      <w:r w:rsidRPr="006D4C04" w:rsidR="004B28E4">
        <w:rPr>
          <w:rFonts w:asciiTheme="majorHAnsi" w:hAnsiTheme="majorHAnsi" w:eastAsiaTheme="majorEastAsia" w:cstheme="majorBidi"/>
          <w:sz w:val="32"/>
          <w:szCs w:val="32"/>
          <w:lang w:eastAsia="en-US"/>
        </w:rPr>
        <w:t xml:space="preserve">. </w:t>
      </w:r>
      <w:r w:rsidR="00203B17">
        <w:rPr>
          <w:rFonts w:asciiTheme="majorHAnsi" w:hAnsiTheme="majorHAnsi" w:eastAsiaTheme="majorEastAsia" w:cstheme="majorBidi"/>
          <w:sz w:val="32"/>
          <w:szCs w:val="32"/>
          <w:lang w:eastAsia="en-US"/>
        </w:rPr>
        <w:t xml:space="preserve">Diskussion af </w:t>
      </w:r>
      <w:r w:rsidR="00A6096D">
        <w:rPr>
          <w:rFonts w:asciiTheme="majorHAnsi" w:hAnsiTheme="majorHAnsi" w:eastAsiaTheme="majorEastAsia" w:cstheme="majorBidi"/>
          <w:sz w:val="32"/>
          <w:szCs w:val="32"/>
          <w:lang w:eastAsia="en-US"/>
        </w:rPr>
        <w:t xml:space="preserve">udfordringer ved at gennemføre forslag </w:t>
      </w:r>
      <w:r w:rsidRPr="006D4C04" w:rsidR="009855DA">
        <w:rPr>
          <w:rFonts w:asciiTheme="majorHAnsi" w:hAnsiTheme="majorHAnsi" w:eastAsiaTheme="majorEastAsia" w:cstheme="majorBidi"/>
          <w:sz w:val="32"/>
          <w:szCs w:val="32"/>
          <w:lang w:eastAsia="en-US"/>
        </w:rPr>
        <w:t>(</w:t>
      </w:r>
      <w:r w:rsidRPr="006D4C04" w:rsidR="00BF5451">
        <w:rPr>
          <w:rFonts w:asciiTheme="majorHAnsi" w:hAnsiTheme="majorHAnsi" w:eastAsiaTheme="majorEastAsia" w:cstheme="majorBidi"/>
          <w:sz w:val="32"/>
          <w:szCs w:val="32"/>
          <w:lang w:eastAsia="en-US"/>
        </w:rPr>
        <w:t>1</w:t>
      </w:r>
      <w:r w:rsidR="00203B17">
        <w:rPr>
          <w:rFonts w:asciiTheme="majorHAnsi" w:hAnsiTheme="majorHAnsi" w:eastAsiaTheme="majorEastAsia" w:cstheme="majorBidi"/>
          <w:sz w:val="32"/>
          <w:szCs w:val="32"/>
          <w:lang w:eastAsia="en-US"/>
        </w:rPr>
        <w:t>0</w:t>
      </w:r>
      <w:r w:rsidRPr="006D4C04" w:rsidR="009855DA">
        <w:rPr>
          <w:rFonts w:asciiTheme="majorHAnsi" w:hAnsiTheme="majorHAnsi" w:eastAsiaTheme="majorEastAsia" w:cstheme="majorBidi"/>
          <w:sz w:val="32"/>
          <w:szCs w:val="32"/>
          <w:lang w:eastAsia="en-US"/>
        </w:rPr>
        <w:t>%)</w:t>
      </w:r>
    </w:p>
    <w:p w:rsidRPr="007E24C6" w:rsidR="007E24C6" w:rsidP="00BF5451" w:rsidRDefault="007E24C6" w14:paraId="43271DB3" w14:textId="77777777">
      <w:pPr>
        <w:rPr>
          <w:b/>
          <w:bCs/>
        </w:rPr>
      </w:pPr>
      <w:r w:rsidRPr="007E24C6">
        <w:rPr>
          <w:b/>
          <w:bCs/>
        </w:rPr>
        <w:t xml:space="preserve">Opgave </w:t>
      </w:r>
      <w:r w:rsidRPr="007E24C6" w:rsidR="00711E55">
        <w:rPr>
          <w:b/>
          <w:bCs/>
        </w:rPr>
        <w:t>4.1</w:t>
      </w:r>
    </w:p>
    <w:p w:rsidRPr="007E24C6" w:rsidR="007E24C6" w:rsidP="00BF5451" w:rsidRDefault="007E24C6" w14:paraId="1AED83ED" w14:textId="77777777"/>
    <w:p w:rsidRPr="007E24C6" w:rsidR="007749AB" w:rsidP="00BF5451" w:rsidRDefault="007749AB" w14:paraId="521BD987" w14:textId="2BB3A3F7">
      <w:r w:rsidRPr="007E24C6">
        <w:t xml:space="preserve">Diskuter </w:t>
      </w:r>
      <w:r w:rsidRPr="007E24C6" w:rsidR="00D74F4C">
        <w:t xml:space="preserve">de udfordringer </w:t>
      </w:r>
      <w:proofErr w:type="spellStart"/>
      <w:r w:rsidR="00B83908">
        <w:t>Roccamore</w:t>
      </w:r>
      <w:proofErr w:type="spellEnd"/>
      <w:r w:rsidRPr="007E24C6">
        <w:t xml:space="preserve"> </w:t>
      </w:r>
      <w:r w:rsidRPr="007E24C6" w:rsidR="00D74F4C">
        <w:t xml:space="preserve">står overfor, </w:t>
      </w:r>
      <w:r w:rsidRPr="007E24C6">
        <w:t xml:space="preserve">når de </w:t>
      </w:r>
      <w:r w:rsidRPr="007E24C6" w:rsidR="00D74F4C">
        <w:t xml:space="preserve">skal </w:t>
      </w:r>
      <w:r w:rsidRPr="007E24C6">
        <w:t xml:space="preserve">gennemføre </w:t>
      </w:r>
      <w:r w:rsidRPr="007E24C6" w:rsidR="00D74F4C">
        <w:t xml:space="preserve">dine </w:t>
      </w:r>
      <w:r w:rsidRPr="007E24C6">
        <w:t>forslag/anbefalinger</w:t>
      </w:r>
      <w:r w:rsidRPr="007E24C6" w:rsidR="00D6428E">
        <w:t>?</w:t>
      </w:r>
    </w:p>
    <w:p w:rsidR="000933BC" w:rsidP="00CF2C81" w:rsidRDefault="00CF2C81" w14:paraId="61FE6378" w14:textId="368D78F0">
      <w:r w:rsidRPr="007E24C6">
        <w:t>(</w:t>
      </w:r>
      <w:r w:rsidRPr="007E24C6" w:rsidR="00203B17">
        <w:t xml:space="preserve">Diskussionen </w:t>
      </w:r>
      <w:r w:rsidRPr="007E24C6">
        <w:t xml:space="preserve">kan </w:t>
      </w:r>
      <w:r w:rsidRPr="007E24C6" w:rsidR="00203B17">
        <w:t xml:space="preserve">eksempelvis </w:t>
      </w:r>
      <w:r w:rsidRPr="007E24C6">
        <w:t xml:space="preserve">indeholde flere af følgende betragtninger: </w:t>
      </w:r>
      <w:r w:rsidRPr="007E24C6" w:rsidR="006D4C04">
        <w:t>H</w:t>
      </w:r>
      <w:r w:rsidRPr="007E24C6">
        <w:t xml:space="preserve">vordan hænger dine svar i de foregående spørgsmål sammen? Hvilke konsekvenser indebærer de? Giver </w:t>
      </w:r>
      <w:r w:rsidRPr="007E24C6" w:rsidR="007B43A3">
        <w:t>aktiviteterne</w:t>
      </w:r>
      <w:r w:rsidRPr="007E24C6">
        <w:t xml:space="preserve"> mening økonomisk? Er planen lovlig?)</w:t>
      </w:r>
    </w:p>
    <w:p w:rsidR="00C55815" w:rsidP="00CF2C81" w:rsidRDefault="00C55815" w14:paraId="6C655192" w14:textId="05F74BB3"/>
    <w:p w:rsidR="00C55815" w:rsidP="00CF2C81" w:rsidRDefault="00C55815" w14:paraId="7B1FB6AA" w14:textId="0AAF9125"/>
    <w:p w:rsidR="00C55815" w:rsidP="00CF2C81" w:rsidRDefault="00C55815" w14:paraId="3D4C9795" w14:textId="77777777"/>
    <w:sectPr w:rsidR="00C55815" w:rsidSect="00F65B38">
      <w:headerReference w:type="default" r:id="rId14"/>
      <w:footerReference w:type="default" r:id="rId15"/>
      <w:pgSz w:w="11900" w:h="16840" w:orient="portrait"/>
      <w:pgMar w:top="1701" w:right="1134" w:bottom="154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BCB" w:rsidP="00883CC9" w:rsidRDefault="009C2BCB" w14:paraId="2376F662" w14:textId="77777777">
      <w:r>
        <w:separator/>
      </w:r>
    </w:p>
  </w:endnote>
  <w:endnote w:type="continuationSeparator" w:id="0">
    <w:p w:rsidR="009C2BCB" w:rsidP="00883CC9" w:rsidRDefault="009C2BCB" w14:paraId="3D21124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22" w:rsidP="00D74F4C" w:rsidRDefault="00214922" w14:paraId="61FE637F" w14:textId="77777777">
    <w:pPr>
      <w:pStyle w:val="Sidefod"/>
      <w:framePr w:wrap="none" w:hAnchor="margin" w:vAnchor="text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214922" w:rsidP="00883CC9" w:rsidRDefault="00214922" w14:paraId="61FE6380" w14:textId="77777777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22" w:rsidP="00FF135B" w:rsidRDefault="00214922" w14:paraId="61FE6381" w14:textId="42761781">
    <w:pPr>
      <w:pStyle w:val="Sidefod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4281130"/>
      <w:docPartObj>
        <w:docPartGallery w:val="Page Numbers (Bottom of Page)"/>
        <w:docPartUnique/>
      </w:docPartObj>
    </w:sdtPr>
    <w:sdtEndPr/>
    <w:sdtContent>
      <w:p w:rsidR="007A5F5B" w:rsidRDefault="007A5F5B" w14:paraId="1015520F" w14:textId="69551775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C4F">
          <w:rPr>
            <w:noProof/>
          </w:rPr>
          <w:t>2</w:t>
        </w:r>
        <w:r>
          <w:fldChar w:fldCharType="end"/>
        </w:r>
      </w:p>
    </w:sdtContent>
  </w:sdt>
  <w:p w:rsidR="00FF135B" w:rsidP="00FF135B" w:rsidRDefault="00FF135B" w14:paraId="60AAC606" w14:textId="01159B14">
    <w:pPr>
      <w:pStyle w:val="Sidefod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BCB" w:rsidP="00883CC9" w:rsidRDefault="009C2BCB" w14:paraId="52043C13" w14:textId="77777777">
      <w:r>
        <w:separator/>
      </w:r>
    </w:p>
  </w:footnote>
  <w:footnote w:type="continuationSeparator" w:id="0">
    <w:p w:rsidR="009C2BCB" w:rsidP="00883CC9" w:rsidRDefault="009C2BCB" w14:paraId="109FB16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35B" w:rsidRDefault="00FF135B" w14:paraId="70766F7B" w14:textId="7777777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941"/>
    <w:multiLevelType w:val="hybridMultilevel"/>
    <w:tmpl w:val="0082D1C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D6206"/>
    <w:multiLevelType w:val="multilevel"/>
    <w:tmpl w:val="CA20D1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7C93396"/>
    <w:multiLevelType w:val="hybridMultilevel"/>
    <w:tmpl w:val="89CE2C24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2B8302E"/>
    <w:multiLevelType w:val="hybridMultilevel"/>
    <w:tmpl w:val="1910C460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3744B21"/>
    <w:multiLevelType w:val="hybridMultilevel"/>
    <w:tmpl w:val="06A41116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86149ED"/>
    <w:multiLevelType w:val="hybridMultilevel"/>
    <w:tmpl w:val="C0749DEC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5C03532"/>
    <w:multiLevelType w:val="hybridMultilevel"/>
    <w:tmpl w:val="E1980FF0"/>
    <w:lvl w:ilvl="0" w:tplc="C3DC748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D261B12"/>
    <w:multiLevelType w:val="multilevel"/>
    <w:tmpl w:val="CA20D1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16F1001"/>
    <w:multiLevelType w:val="multilevel"/>
    <w:tmpl w:val="CA20D1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86D364A"/>
    <w:multiLevelType w:val="multilevel"/>
    <w:tmpl w:val="CA20D1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9F04BE6"/>
    <w:multiLevelType w:val="hybridMultilevel"/>
    <w:tmpl w:val="C16A821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442672"/>
    <w:multiLevelType w:val="multilevel"/>
    <w:tmpl w:val="5B1A7A3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8" w:hanging="1800"/>
      </w:pPr>
      <w:rPr>
        <w:rFonts w:hint="default"/>
      </w:rPr>
    </w:lvl>
  </w:abstractNum>
  <w:abstractNum w:abstractNumId="12" w15:restartNumberingAfterBreak="0">
    <w:nsid w:val="4BE7279D"/>
    <w:multiLevelType w:val="hybridMultilevel"/>
    <w:tmpl w:val="3D1021A8"/>
    <w:lvl w:ilvl="0" w:tplc="4C44300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E207236"/>
    <w:multiLevelType w:val="hybridMultilevel"/>
    <w:tmpl w:val="6A1E68B6"/>
    <w:lvl w:ilvl="0" w:tplc="0C3EF59E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8156952"/>
    <w:multiLevelType w:val="multilevel"/>
    <w:tmpl w:val="8BB04A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DA13EEB"/>
    <w:multiLevelType w:val="hybridMultilevel"/>
    <w:tmpl w:val="6354E390"/>
    <w:lvl w:ilvl="0" w:tplc="CA18B1BE">
      <w:start w:val="2"/>
      <w:numFmt w:val="bullet"/>
      <w:lvlText w:val="-"/>
      <w:lvlJc w:val="left"/>
      <w:pPr>
        <w:ind w:left="720" w:hanging="360"/>
      </w:pPr>
      <w:rPr>
        <w:rFonts w:hint="default" w:ascii="Cambria" w:hAnsi="Cambria" w:eastAsiaTheme="minorEastAsia" w:cstheme="minorBidi"/>
        <w:i w:val="0"/>
        <w:sz w:val="2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E831811"/>
    <w:multiLevelType w:val="multilevel"/>
    <w:tmpl w:val="8BB04A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F8C440E"/>
    <w:multiLevelType w:val="hybridMultilevel"/>
    <w:tmpl w:val="2D34903E"/>
    <w:lvl w:ilvl="0" w:tplc="951CE462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1862A6D"/>
    <w:multiLevelType w:val="multilevel"/>
    <w:tmpl w:val="8A8482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5D73E98"/>
    <w:multiLevelType w:val="hybridMultilevel"/>
    <w:tmpl w:val="CF7A146E"/>
    <w:lvl w:ilvl="0" w:tplc="90EA007C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6DB3903"/>
    <w:multiLevelType w:val="multilevel"/>
    <w:tmpl w:val="CA20D1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1DA17C9"/>
    <w:multiLevelType w:val="hybridMultilevel"/>
    <w:tmpl w:val="3932B400"/>
    <w:lvl w:ilvl="0" w:tplc="0D0A84C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680529B"/>
    <w:multiLevelType w:val="hybridMultilevel"/>
    <w:tmpl w:val="657CBE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93331"/>
    <w:multiLevelType w:val="hybridMultilevel"/>
    <w:tmpl w:val="F64EDA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B60F2"/>
    <w:multiLevelType w:val="multilevel"/>
    <w:tmpl w:val="E3FCD718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DD808D0"/>
    <w:multiLevelType w:val="hybridMultilevel"/>
    <w:tmpl w:val="06AAE85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9666D"/>
    <w:multiLevelType w:val="multilevel"/>
    <w:tmpl w:val="8BB04A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20"/>
  </w:num>
  <w:num w:numId="3">
    <w:abstractNumId w:val="1"/>
  </w:num>
  <w:num w:numId="4">
    <w:abstractNumId w:val="7"/>
  </w:num>
  <w:num w:numId="5">
    <w:abstractNumId w:val="8"/>
  </w:num>
  <w:num w:numId="6">
    <w:abstractNumId w:val="18"/>
  </w:num>
  <w:num w:numId="7">
    <w:abstractNumId w:val="13"/>
  </w:num>
  <w:num w:numId="8">
    <w:abstractNumId w:val="11"/>
  </w:num>
  <w:num w:numId="9">
    <w:abstractNumId w:val="23"/>
  </w:num>
  <w:num w:numId="10">
    <w:abstractNumId w:val="25"/>
  </w:num>
  <w:num w:numId="11">
    <w:abstractNumId w:val="0"/>
  </w:num>
  <w:num w:numId="12">
    <w:abstractNumId w:val="10"/>
  </w:num>
  <w:num w:numId="13">
    <w:abstractNumId w:val="15"/>
  </w:num>
  <w:num w:numId="14">
    <w:abstractNumId w:val="19"/>
  </w:num>
  <w:num w:numId="15">
    <w:abstractNumId w:val="22"/>
  </w:num>
  <w:num w:numId="16">
    <w:abstractNumId w:val="14"/>
  </w:num>
  <w:num w:numId="17">
    <w:abstractNumId w:val="21"/>
  </w:num>
  <w:num w:numId="18">
    <w:abstractNumId w:val="26"/>
  </w:num>
  <w:num w:numId="19">
    <w:abstractNumId w:val="16"/>
  </w:num>
  <w:num w:numId="20">
    <w:abstractNumId w:val="12"/>
  </w:num>
  <w:num w:numId="21">
    <w:abstractNumId w:val="3"/>
  </w:num>
  <w:num w:numId="22">
    <w:abstractNumId w:val="6"/>
  </w:num>
  <w:num w:numId="23">
    <w:abstractNumId w:val="2"/>
  </w:num>
  <w:num w:numId="24">
    <w:abstractNumId w:val="17"/>
  </w:num>
  <w:num w:numId="25">
    <w:abstractNumId w:val="24"/>
  </w:num>
  <w:num w:numId="26">
    <w:abstractNumId w:val="4"/>
  </w:num>
  <w:num w:numId="27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true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1C"/>
    <w:rsid w:val="00007AD5"/>
    <w:rsid w:val="0003074D"/>
    <w:rsid w:val="0004124B"/>
    <w:rsid w:val="00074E09"/>
    <w:rsid w:val="00080F5B"/>
    <w:rsid w:val="00086FF9"/>
    <w:rsid w:val="00090C64"/>
    <w:rsid w:val="000933BC"/>
    <w:rsid w:val="000B732B"/>
    <w:rsid w:val="000C04D1"/>
    <w:rsid w:val="000D1849"/>
    <w:rsid w:val="000E48BF"/>
    <w:rsid w:val="000E6469"/>
    <w:rsid w:val="000F1793"/>
    <w:rsid w:val="00143FC0"/>
    <w:rsid w:val="00194A37"/>
    <w:rsid w:val="001A2301"/>
    <w:rsid w:val="001A4BE4"/>
    <w:rsid w:val="001A4DCB"/>
    <w:rsid w:val="001B06F9"/>
    <w:rsid w:val="001D4C4F"/>
    <w:rsid w:val="002026AF"/>
    <w:rsid w:val="00203B17"/>
    <w:rsid w:val="00207F5C"/>
    <w:rsid w:val="00214922"/>
    <w:rsid w:val="00255597"/>
    <w:rsid w:val="00260740"/>
    <w:rsid w:val="00262CC1"/>
    <w:rsid w:val="002675DA"/>
    <w:rsid w:val="00274753"/>
    <w:rsid w:val="00295538"/>
    <w:rsid w:val="002B1F33"/>
    <w:rsid w:val="002B7527"/>
    <w:rsid w:val="002C2AC1"/>
    <w:rsid w:val="002C2E20"/>
    <w:rsid w:val="002D1116"/>
    <w:rsid w:val="002E7400"/>
    <w:rsid w:val="003010B6"/>
    <w:rsid w:val="003017FE"/>
    <w:rsid w:val="0030669C"/>
    <w:rsid w:val="00307CDD"/>
    <w:rsid w:val="00321389"/>
    <w:rsid w:val="00324FD7"/>
    <w:rsid w:val="003478E3"/>
    <w:rsid w:val="00352A0E"/>
    <w:rsid w:val="00377B7E"/>
    <w:rsid w:val="00387C84"/>
    <w:rsid w:val="00390B87"/>
    <w:rsid w:val="00393DFF"/>
    <w:rsid w:val="003D47FC"/>
    <w:rsid w:val="003E1B4B"/>
    <w:rsid w:val="003E7778"/>
    <w:rsid w:val="00433B4E"/>
    <w:rsid w:val="0044103D"/>
    <w:rsid w:val="0045236B"/>
    <w:rsid w:val="004A1D25"/>
    <w:rsid w:val="004B28E4"/>
    <w:rsid w:val="004B5687"/>
    <w:rsid w:val="004B6B02"/>
    <w:rsid w:val="004B78B8"/>
    <w:rsid w:val="004D3355"/>
    <w:rsid w:val="004F7D37"/>
    <w:rsid w:val="00506D0A"/>
    <w:rsid w:val="00514736"/>
    <w:rsid w:val="005157B2"/>
    <w:rsid w:val="00542756"/>
    <w:rsid w:val="005452A8"/>
    <w:rsid w:val="00551BB6"/>
    <w:rsid w:val="0055291C"/>
    <w:rsid w:val="00575B30"/>
    <w:rsid w:val="00581857"/>
    <w:rsid w:val="00581CCB"/>
    <w:rsid w:val="005859D3"/>
    <w:rsid w:val="005861A8"/>
    <w:rsid w:val="0058631C"/>
    <w:rsid w:val="005C4D2F"/>
    <w:rsid w:val="005C4D7C"/>
    <w:rsid w:val="005D6E99"/>
    <w:rsid w:val="005E61F0"/>
    <w:rsid w:val="00603AF3"/>
    <w:rsid w:val="00624865"/>
    <w:rsid w:val="00633B90"/>
    <w:rsid w:val="00675823"/>
    <w:rsid w:val="006844E4"/>
    <w:rsid w:val="00685A73"/>
    <w:rsid w:val="006917F9"/>
    <w:rsid w:val="006B3CAC"/>
    <w:rsid w:val="006C2874"/>
    <w:rsid w:val="006D4C04"/>
    <w:rsid w:val="006E519E"/>
    <w:rsid w:val="006E56D9"/>
    <w:rsid w:val="006F0AF5"/>
    <w:rsid w:val="006F72A2"/>
    <w:rsid w:val="00711E55"/>
    <w:rsid w:val="00722913"/>
    <w:rsid w:val="0073665B"/>
    <w:rsid w:val="00736D73"/>
    <w:rsid w:val="00741B8C"/>
    <w:rsid w:val="007430BE"/>
    <w:rsid w:val="0076031C"/>
    <w:rsid w:val="007657F3"/>
    <w:rsid w:val="00767453"/>
    <w:rsid w:val="007749AB"/>
    <w:rsid w:val="00777A1C"/>
    <w:rsid w:val="0078227C"/>
    <w:rsid w:val="00785A00"/>
    <w:rsid w:val="007A3B5A"/>
    <w:rsid w:val="007A5F5B"/>
    <w:rsid w:val="007B43A3"/>
    <w:rsid w:val="007C29B5"/>
    <w:rsid w:val="007D17DB"/>
    <w:rsid w:val="007D720A"/>
    <w:rsid w:val="007E24C6"/>
    <w:rsid w:val="007E74D6"/>
    <w:rsid w:val="007F3F65"/>
    <w:rsid w:val="007F56A6"/>
    <w:rsid w:val="00817B60"/>
    <w:rsid w:val="008332B8"/>
    <w:rsid w:val="0083600F"/>
    <w:rsid w:val="00846670"/>
    <w:rsid w:val="00883CC9"/>
    <w:rsid w:val="00892DC5"/>
    <w:rsid w:val="008931D3"/>
    <w:rsid w:val="00894E59"/>
    <w:rsid w:val="0089624B"/>
    <w:rsid w:val="008A1B8F"/>
    <w:rsid w:val="008A4AD9"/>
    <w:rsid w:val="008B5D1A"/>
    <w:rsid w:val="008C03CE"/>
    <w:rsid w:val="008D7C68"/>
    <w:rsid w:val="00903FAA"/>
    <w:rsid w:val="00912FD2"/>
    <w:rsid w:val="00916D25"/>
    <w:rsid w:val="009363A2"/>
    <w:rsid w:val="0096289E"/>
    <w:rsid w:val="0096450F"/>
    <w:rsid w:val="009672DA"/>
    <w:rsid w:val="009855DA"/>
    <w:rsid w:val="009A70A4"/>
    <w:rsid w:val="009C2BCB"/>
    <w:rsid w:val="009D28C1"/>
    <w:rsid w:val="009E5064"/>
    <w:rsid w:val="009F7DC0"/>
    <w:rsid w:val="00A11EE8"/>
    <w:rsid w:val="00A23ADA"/>
    <w:rsid w:val="00A6096D"/>
    <w:rsid w:val="00A72B56"/>
    <w:rsid w:val="00A80B4E"/>
    <w:rsid w:val="00AA1F79"/>
    <w:rsid w:val="00AB1D6D"/>
    <w:rsid w:val="00AB44E3"/>
    <w:rsid w:val="00AE6F66"/>
    <w:rsid w:val="00B0268E"/>
    <w:rsid w:val="00B063AC"/>
    <w:rsid w:val="00B12BFB"/>
    <w:rsid w:val="00B16891"/>
    <w:rsid w:val="00B22EF7"/>
    <w:rsid w:val="00B2513D"/>
    <w:rsid w:val="00B72D5B"/>
    <w:rsid w:val="00B75E03"/>
    <w:rsid w:val="00B83908"/>
    <w:rsid w:val="00BA5694"/>
    <w:rsid w:val="00BA5EA7"/>
    <w:rsid w:val="00BE7E9C"/>
    <w:rsid w:val="00BF5451"/>
    <w:rsid w:val="00C057C4"/>
    <w:rsid w:val="00C27DBB"/>
    <w:rsid w:val="00C322F1"/>
    <w:rsid w:val="00C41B53"/>
    <w:rsid w:val="00C55815"/>
    <w:rsid w:val="00C703F5"/>
    <w:rsid w:val="00C8136A"/>
    <w:rsid w:val="00CA1EEF"/>
    <w:rsid w:val="00CA5B1A"/>
    <w:rsid w:val="00CD199F"/>
    <w:rsid w:val="00CD79B5"/>
    <w:rsid w:val="00CE2B66"/>
    <w:rsid w:val="00CF2C81"/>
    <w:rsid w:val="00D01F00"/>
    <w:rsid w:val="00D068E5"/>
    <w:rsid w:val="00D14A69"/>
    <w:rsid w:val="00D17277"/>
    <w:rsid w:val="00D6428E"/>
    <w:rsid w:val="00D74F4C"/>
    <w:rsid w:val="00D87ABE"/>
    <w:rsid w:val="00D978F9"/>
    <w:rsid w:val="00DA5C77"/>
    <w:rsid w:val="00DE76B0"/>
    <w:rsid w:val="00DF39D5"/>
    <w:rsid w:val="00E17C73"/>
    <w:rsid w:val="00E23A1B"/>
    <w:rsid w:val="00E255CE"/>
    <w:rsid w:val="00E25974"/>
    <w:rsid w:val="00E27B77"/>
    <w:rsid w:val="00E30905"/>
    <w:rsid w:val="00E40E8D"/>
    <w:rsid w:val="00E41ACA"/>
    <w:rsid w:val="00E45139"/>
    <w:rsid w:val="00E56023"/>
    <w:rsid w:val="00E7767E"/>
    <w:rsid w:val="00EC6A95"/>
    <w:rsid w:val="00EE6FA3"/>
    <w:rsid w:val="00EF1F0F"/>
    <w:rsid w:val="00EF2D91"/>
    <w:rsid w:val="00EF713C"/>
    <w:rsid w:val="00F00A21"/>
    <w:rsid w:val="00F0341B"/>
    <w:rsid w:val="00F04E70"/>
    <w:rsid w:val="00F36CDF"/>
    <w:rsid w:val="00F42616"/>
    <w:rsid w:val="00F42668"/>
    <w:rsid w:val="00F606E5"/>
    <w:rsid w:val="00F65B38"/>
    <w:rsid w:val="00F90274"/>
    <w:rsid w:val="00F9524E"/>
    <w:rsid w:val="00FA250A"/>
    <w:rsid w:val="00FA3368"/>
    <w:rsid w:val="00FC1730"/>
    <w:rsid w:val="00FD528C"/>
    <w:rsid w:val="00FF0103"/>
    <w:rsid w:val="00FF07DE"/>
    <w:rsid w:val="00FF135B"/>
    <w:rsid w:val="00FF4951"/>
    <w:rsid w:val="00FF52A3"/>
    <w:rsid w:val="00FF6C3A"/>
    <w:rsid w:val="5C69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FE632F"/>
  <w14:defaultImageDpi w14:val="300"/>
  <w15:docId w15:val="{3A83F6CB-1B9F-47FD-84C9-A6620CA866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3CC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pple-tab-span" w:customStyle="1">
    <w:name w:val="apple-tab-span"/>
    <w:basedOn w:val="Standardskrifttypeiafsnit"/>
    <w:rsid w:val="00883CC9"/>
  </w:style>
  <w:style w:type="character" w:styleId="Hyperlink">
    <w:name w:val="Hyperlink"/>
    <w:basedOn w:val="Standardskrifttypeiafsnit"/>
    <w:uiPriority w:val="99"/>
    <w:semiHidden/>
    <w:unhideWhenUsed/>
    <w:rsid w:val="00883CC9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3CC9"/>
    <w:rPr>
      <w:rFonts w:ascii="Lucida Grande" w:hAnsi="Lucida Grande" w:cs="Lucida Grande"/>
      <w:sz w:val="18"/>
      <w:szCs w:val="18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semiHidden/>
    <w:rsid w:val="00883CC9"/>
    <w:rPr>
      <w:rFonts w:ascii="Lucida Grande" w:hAnsi="Lucida Grande" w:cs="Lucida Grande"/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883CC9"/>
    <w:pPr>
      <w:tabs>
        <w:tab w:val="center" w:pos="4819"/>
        <w:tab w:val="right" w:pos="9638"/>
      </w:tabs>
    </w:pPr>
  </w:style>
  <w:style w:type="character" w:styleId="SidefodTegn" w:customStyle="1">
    <w:name w:val="Sidefod Tegn"/>
    <w:basedOn w:val="Standardskrifttypeiafsnit"/>
    <w:link w:val="Sidefod"/>
    <w:uiPriority w:val="99"/>
    <w:rsid w:val="00883CC9"/>
  </w:style>
  <w:style w:type="character" w:styleId="Sidetal">
    <w:name w:val="page number"/>
    <w:basedOn w:val="Standardskrifttypeiafsnit"/>
    <w:uiPriority w:val="99"/>
    <w:semiHidden/>
    <w:unhideWhenUsed/>
    <w:rsid w:val="00883CC9"/>
  </w:style>
  <w:style w:type="paragraph" w:styleId="Sidehoved">
    <w:name w:val="header"/>
    <w:basedOn w:val="Normal"/>
    <w:link w:val="SidehovedTegn"/>
    <w:uiPriority w:val="99"/>
    <w:unhideWhenUsed/>
    <w:rsid w:val="00883CC9"/>
    <w:pPr>
      <w:tabs>
        <w:tab w:val="center" w:pos="4819"/>
        <w:tab w:val="right" w:pos="9638"/>
      </w:tabs>
    </w:pPr>
  </w:style>
  <w:style w:type="character" w:styleId="SidehovedTegn" w:customStyle="1">
    <w:name w:val="Sidehoved Tegn"/>
    <w:basedOn w:val="Standardskrifttypeiafsnit"/>
    <w:link w:val="Sidehoved"/>
    <w:uiPriority w:val="99"/>
    <w:rsid w:val="00883CC9"/>
  </w:style>
  <w:style w:type="paragraph" w:styleId="Normal1" w:customStyle="1">
    <w:name w:val="Normal1"/>
    <w:rsid w:val="00B063AC"/>
    <w:pPr>
      <w:spacing w:after="200" w:line="276" w:lineRule="auto"/>
    </w:pPr>
    <w:rPr>
      <w:rFonts w:ascii="Calibri" w:hAnsi="Calibri" w:eastAsia="Calibri" w:cs="Calibri"/>
      <w:color w:val="000000"/>
      <w:sz w:val="22"/>
      <w:szCs w:val="22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4B28E4"/>
    <w:rPr>
      <w:sz w:val="20"/>
      <w:szCs w:val="20"/>
    </w:rPr>
  </w:style>
  <w:style w:type="character" w:styleId="FodnotetekstTegn" w:customStyle="1">
    <w:name w:val="Fodnotetekst Tegn"/>
    <w:basedOn w:val="Standardskrifttypeiafsnit"/>
    <w:link w:val="Fodnotetekst"/>
    <w:uiPriority w:val="99"/>
    <w:semiHidden/>
    <w:rsid w:val="004B28E4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4B28E4"/>
    <w:rPr>
      <w:vertAlign w:val="superscript"/>
    </w:rPr>
  </w:style>
  <w:style w:type="paragraph" w:styleId="Listeafsnit">
    <w:name w:val="List Paragraph"/>
    <w:basedOn w:val="Normal"/>
    <w:uiPriority w:val="34"/>
    <w:qFormat/>
    <w:rsid w:val="000933BC"/>
    <w:pPr>
      <w:ind w:left="720"/>
      <w:contextualSpacing/>
    </w:pPr>
  </w:style>
  <w:style w:type="paragraph" w:styleId="Default" w:customStyle="1">
    <w:name w:val="Default"/>
    <w:rsid w:val="00BF5451"/>
    <w:pPr>
      <w:autoSpaceDE w:val="0"/>
      <w:autoSpaceDN w:val="0"/>
      <w:adjustRightInd w:val="0"/>
    </w:pPr>
    <w:rPr>
      <w:rFonts w:ascii="Calibri" w:hAnsi="Calibri" w:cs="Calibri" w:eastAsiaTheme="minorHAnsi"/>
      <w:color w:val="000000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F545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F5451"/>
    <w:pPr>
      <w:spacing w:after="160"/>
    </w:pPr>
    <w:rPr>
      <w:rFonts w:eastAsiaTheme="minorHAnsi"/>
      <w:sz w:val="20"/>
      <w:szCs w:val="20"/>
      <w:lang w:eastAsia="en-US"/>
    </w:rPr>
  </w:style>
  <w:style w:type="character" w:styleId="KommentartekstTegn" w:customStyle="1">
    <w:name w:val="Kommentartekst Tegn"/>
    <w:basedOn w:val="Standardskrifttypeiafsnit"/>
    <w:link w:val="Kommentartekst"/>
    <w:uiPriority w:val="99"/>
    <w:semiHidden/>
    <w:rsid w:val="00BF5451"/>
    <w:rPr>
      <w:rFonts w:eastAsiaTheme="minorHAnsi"/>
      <w:sz w:val="20"/>
      <w:szCs w:val="20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07CDD"/>
    <w:pPr>
      <w:spacing w:after="0"/>
    </w:pPr>
    <w:rPr>
      <w:rFonts w:eastAsiaTheme="minorEastAsia"/>
      <w:b/>
      <w:bCs/>
      <w:lang w:eastAsia="da-DK"/>
    </w:rPr>
  </w:style>
  <w:style w:type="character" w:styleId="KommentaremneTegn" w:customStyle="1">
    <w:name w:val="Kommentaremne Tegn"/>
    <w:basedOn w:val="KommentartekstTegn"/>
    <w:link w:val="Kommentaremne"/>
    <w:uiPriority w:val="99"/>
    <w:semiHidden/>
    <w:rsid w:val="00307CDD"/>
    <w:rPr>
      <w:rFonts w:eastAsiaTheme="minorHAnsi"/>
      <w:b/>
      <w:bCs/>
      <w:sz w:val="20"/>
      <w:szCs w:val="20"/>
      <w:lang w:eastAsia="en-US"/>
    </w:rPr>
  </w:style>
  <w:style w:type="table" w:styleId="Tabel-Gitter">
    <w:name w:val="Table Grid"/>
    <w:basedOn w:val="Tabel-Normal"/>
    <w:uiPriority w:val="39"/>
    <w:rsid w:val="003E1B4B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4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3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1.jpeg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glossaryDocument" Target="glossary/document.xml" Id="R2b721357f5f642c5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23321-7860-4679-bd0b-54c33bb85d2b}"/>
      </w:docPartPr>
      <w:docPartBody>
        <w:p w14:paraId="5C697EB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CFC4A62682BF489A498BA14794BBBE" ma:contentTypeVersion="14" ma:contentTypeDescription="Opret et nyt dokument." ma:contentTypeScope="" ma:versionID="7760024f6342c108400395112e331302">
  <xsd:schema xmlns:xsd="http://www.w3.org/2001/XMLSchema" xmlns:xs="http://www.w3.org/2001/XMLSchema" xmlns:p="http://schemas.microsoft.com/office/2006/metadata/properties" xmlns:ns2="c5e15a0a-cd8f-4440-a63d-3a6e1d8147f2" xmlns:ns3="f715c90f-0593-46e5-be08-9dee637343a4" targetNamespace="http://schemas.microsoft.com/office/2006/metadata/properties" ma:root="true" ma:fieldsID="b8a324788c047703247b13f8edc7a05f" ns2:_="" ns3:_="">
    <xsd:import namespace="c5e15a0a-cd8f-4440-a63d-3a6e1d8147f2"/>
    <xsd:import namespace="f715c90f-0593-46e5-be08-9dee637343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15a0a-cd8f-4440-a63d-3a6e1d8147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1344ac5-1b4c-410a-b505-fa9b01bfca04}" ma:internalName="TaxCatchAll" ma:showField="CatchAllData" ma:web="c5e15a0a-cd8f-4440-a63d-3a6e1d8147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5c90f-0593-46e5-be08-9dee63734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3273e385-a8b0-4d51-8803-6e97695c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e15a0a-cd8f-4440-a63d-3a6e1d8147f2" xsi:nil="true"/>
    <lcf76f155ced4ddcb4097134ff3c332f xmlns="f715c90f-0593-46e5-be08-9dee637343a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FC561-49FA-4C84-BEC7-C114B2AE5E27}"/>
</file>

<file path=customXml/itemProps2.xml><?xml version="1.0" encoding="utf-8"?>
<ds:datastoreItem xmlns:ds="http://schemas.openxmlformats.org/officeDocument/2006/customXml" ds:itemID="{C1DDCFC0-0157-473A-9755-910B76E599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BFC19E-647F-4B07-AC89-144CD87361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CACEDB-09A7-4CEA-8AB8-F37F563B674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CPH Business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EAAA@efif.onmicrosoft.com</dc:creator>
  <cp:lastModifiedBy>Lisbeth Buchwald Schwarz (LISC - Programleder - Cphbusiness)</cp:lastModifiedBy>
  <cp:revision>5</cp:revision>
  <dcterms:created xsi:type="dcterms:W3CDTF">2022-12-20T07:30:00Z</dcterms:created>
  <dcterms:modified xsi:type="dcterms:W3CDTF">2022-12-20T12:17:44Z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0x010100C9CFC4A62682BF489A498BA14794BBBE</vt:lpwstr>
  </property>
</Properties>
</file>